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2A" w:rsidRDefault="0081329E">
      <w:pPr>
        <w:jc w:val="both"/>
      </w:pPr>
      <w:r>
        <w:rPr>
          <w:b/>
          <w:i/>
        </w:rPr>
        <w:t>Suvestinė redakcija nuo 2019-04-04</w:t>
      </w:r>
    </w:p>
    <w:p w:rsidR="00534B2A" w:rsidRDefault="00534B2A">
      <w:pPr>
        <w:jc w:val="both"/>
        <w:rPr>
          <w:sz w:val="20"/>
        </w:rPr>
      </w:pPr>
    </w:p>
    <w:p w:rsidR="00534B2A" w:rsidRDefault="0081329E">
      <w:pPr>
        <w:jc w:val="both"/>
        <w:rPr>
          <w:sz w:val="20"/>
        </w:rPr>
      </w:pPr>
      <w:r>
        <w:rPr>
          <w:i/>
          <w:sz w:val="20"/>
        </w:rPr>
        <w:t>Sprendimas paskelbtas: TAR 2016-07-12, i. k. 2016-20013</w:t>
      </w:r>
    </w:p>
    <w:p w:rsidR="00534B2A" w:rsidRDefault="00534B2A">
      <w:pPr>
        <w:jc w:val="both"/>
        <w:rPr>
          <w:sz w:val="20"/>
        </w:rPr>
      </w:pPr>
    </w:p>
    <w:p w:rsidR="00534B2A" w:rsidRDefault="0081329E">
      <w:pPr>
        <w:jc w:val="center"/>
        <w:rPr>
          <w:lang w:eastAsia="lt-LT"/>
        </w:rPr>
      </w:pPr>
      <w:r>
        <w:rPr>
          <w:noProof/>
          <w:lang w:eastAsia="lt-LT"/>
        </w:rPr>
        <w:drawing>
          <wp:inline distT="0" distB="0" distL="0" distR="0">
            <wp:extent cx="542925" cy="6000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rsidR="00534B2A" w:rsidRDefault="00534B2A">
      <w:pPr>
        <w:jc w:val="center"/>
        <w:rPr>
          <w:b/>
          <w:caps/>
        </w:rPr>
      </w:pPr>
    </w:p>
    <w:p w:rsidR="00534B2A" w:rsidRDefault="0081329E">
      <w:pPr>
        <w:jc w:val="center"/>
        <w:rPr>
          <w:szCs w:val="24"/>
        </w:rPr>
      </w:pPr>
      <w:r>
        <w:rPr>
          <w:b/>
          <w:caps/>
          <w:szCs w:val="24"/>
        </w:rPr>
        <w:t>visagino savivaldybės taryba</w:t>
      </w:r>
    </w:p>
    <w:p w:rsidR="00534B2A" w:rsidRDefault="00534B2A">
      <w:pPr>
        <w:jc w:val="center"/>
        <w:rPr>
          <w:szCs w:val="24"/>
        </w:rPr>
      </w:pPr>
    </w:p>
    <w:p w:rsidR="00534B2A" w:rsidRDefault="0081329E">
      <w:pPr>
        <w:jc w:val="center"/>
        <w:rPr>
          <w:b/>
          <w:caps/>
          <w:szCs w:val="24"/>
        </w:rPr>
      </w:pPr>
      <w:r>
        <w:rPr>
          <w:b/>
          <w:caps/>
          <w:szCs w:val="24"/>
        </w:rPr>
        <w:t>sprendimas</w:t>
      </w:r>
    </w:p>
    <w:p w:rsidR="00534B2A" w:rsidRDefault="0081329E">
      <w:pPr>
        <w:ind w:right="278"/>
        <w:jc w:val="center"/>
        <w:rPr>
          <w:b/>
          <w:bCs/>
        </w:rPr>
      </w:pPr>
      <w:r>
        <w:rPr>
          <w:b/>
          <w:bCs/>
        </w:rPr>
        <w:t>DĖL VISAGINO SAVIVALDYBĖS NEFORMALIOJO SUAUGUSIŲJŲ ŠVIETIMO IR TĘSTINIO MOKYMOSI PROGRAMŲ, FINANSUOJAMŲ SAVIVALDYBĖS BIUDŽETO LĖŠOMIS, ATRANKOS IR FINANSAVIMO TVARKOS APRAŠO PATVIRTINIMO</w:t>
      </w:r>
    </w:p>
    <w:p w:rsidR="00534B2A" w:rsidRDefault="00534B2A">
      <w:pPr>
        <w:jc w:val="center"/>
        <w:rPr>
          <w:b/>
          <w:bCs/>
          <w:color w:val="000000"/>
          <w:szCs w:val="24"/>
        </w:rPr>
      </w:pPr>
    </w:p>
    <w:p w:rsidR="00534B2A" w:rsidRDefault="0081329E">
      <w:pPr>
        <w:jc w:val="center"/>
      </w:pPr>
      <w:r>
        <w:t>2016 m. birželio 30 d. Nr. TS-126</w:t>
      </w:r>
    </w:p>
    <w:p w:rsidR="00534B2A" w:rsidRDefault="0081329E">
      <w:pPr>
        <w:jc w:val="center"/>
      </w:pPr>
      <w:r>
        <w:t>Visaginas</w:t>
      </w:r>
    </w:p>
    <w:p w:rsidR="00534B2A" w:rsidRDefault="00534B2A"/>
    <w:p w:rsidR="00534B2A" w:rsidRDefault="00534B2A">
      <w:pPr>
        <w:jc w:val="both"/>
      </w:pPr>
    </w:p>
    <w:p w:rsidR="00534B2A" w:rsidRDefault="0081329E">
      <w:pPr>
        <w:keepNext/>
        <w:ind w:firstLine="1276"/>
        <w:jc w:val="both"/>
        <w:outlineLvl w:val="1"/>
        <w:rPr>
          <w:bCs/>
          <w:spacing w:val="20"/>
        </w:rPr>
      </w:pPr>
      <w:r>
        <w:rPr>
          <w:bCs/>
        </w:rPr>
        <w:t>Visagino savivaldybės taryba, vadovaudamasi</w:t>
      </w:r>
      <w:r>
        <w:t xml:space="preserve"> Lietuvos Respublikos vietos savivaldos įstatymo 16 straipsnio 4 dalimi,</w:t>
      </w:r>
      <w:r>
        <w:rPr>
          <w:bCs/>
        </w:rPr>
        <w:t xml:space="preserve"> Lietuvos Respublikos neformaliojo suaugusiųjų švietimo ir tęstinio mokymosi įstatymo 17 straipsnio 2 dalimi, Mokymosi pagal neformaliojo suaugusiųjų švietimo ir tęstinio mokymosi programas finansavimo metodikos, patvirtintos Lietuvos Respublikos Vyriausybės 2016 m. sausio 14 d. nutarimu Nr. 22 „Dėl Mokymosi pagal neformaliojo suaugusiųjų švietimo ir tęstinio mokymosi programas finansavimo metodikos patvirtinimo“ 4 punktu, </w:t>
      </w:r>
      <w:r>
        <w:rPr>
          <w:bCs/>
          <w:spacing w:val="20"/>
        </w:rPr>
        <w:t>nusprendžia:</w:t>
      </w:r>
    </w:p>
    <w:p w:rsidR="00534B2A" w:rsidRDefault="0081329E">
      <w:pPr>
        <w:ind w:firstLine="1276"/>
        <w:jc w:val="both"/>
        <w:rPr>
          <w:szCs w:val="24"/>
        </w:rPr>
      </w:pPr>
      <w:r>
        <w:rPr>
          <w:spacing w:val="20"/>
        </w:rPr>
        <w:t>Patvirtinti</w:t>
      </w:r>
      <w:r>
        <w:t xml:space="preserve"> Visagino savivaldybės neformaliojo suaugusiųjų švietimo ir tęstinio mokymosi programų, finansuojamų savivaldybės biudžeto lėšomis, atrankos ir finansavimo tvarkos aprašą (pridedama). </w:t>
      </w:r>
    </w:p>
    <w:p w:rsidR="00534B2A" w:rsidRDefault="00534B2A">
      <w:pPr>
        <w:jc w:val="both"/>
        <w:rPr>
          <w:szCs w:val="24"/>
        </w:rPr>
      </w:pPr>
    </w:p>
    <w:p w:rsidR="00534B2A" w:rsidRDefault="00534B2A">
      <w:pPr>
        <w:jc w:val="both"/>
        <w:rPr>
          <w:szCs w:val="24"/>
        </w:rPr>
      </w:pPr>
    </w:p>
    <w:p w:rsidR="00534B2A" w:rsidRDefault="00534B2A">
      <w:pPr>
        <w:jc w:val="both"/>
        <w:rPr>
          <w:szCs w:val="24"/>
        </w:rPr>
      </w:pPr>
    </w:p>
    <w:p w:rsidR="00534B2A" w:rsidRDefault="0081329E">
      <w:pPr>
        <w:jc w:val="both"/>
      </w:pPr>
      <w:r>
        <w:rPr>
          <w:szCs w:val="24"/>
        </w:rPr>
        <w:t xml:space="preserve">Savivaldybės merė </w:t>
      </w:r>
      <w:r>
        <w:rPr>
          <w:szCs w:val="24"/>
        </w:rPr>
        <w:tab/>
      </w:r>
      <w:r>
        <w:rPr>
          <w:szCs w:val="24"/>
        </w:rPr>
        <w:tab/>
      </w:r>
      <w:r>
        <w:rPr>
          <w:szCs w:val="24"/>
        </w:rPr>
        <w:tab/>
      </w:r>
      <w:r>
        <w:rPr>
          <w:szCs w:val="24"/>
        </w:rPr>
        <w:tab/>
      </w:r>
      <w:r>
        <w:rPr>
          <w:szCs w:val="24"/>
        </w:rPr>
        <w:tab/>
        <w:t xml:space="preserve">Dalia </w:t>
      </w:r>
      <w:proofErr w:type="spellStart"/>
      <w:r>
        <w:rPr>
          <w:szCs w:val="24"/>
        </w:rPr>
        <w:t>Štraupaitė</w:t>
      </w:r>
      <w:proofErr w:type="spellEnd"/>
      <w:r>
        <w:rPr>
          <w:szCs w:val="24"/>
        </w:rPr>
        <w:t xml:space="preserve"> </w:t>
      </w:r>
    </w:p>
    <w:p w:rsidR="00534B2A" w:rsidRDefault="00534B2A">
      <w:pPr>
        <w:ind w:firstLine="5103"/>
        <w:sectPr w:rsidR="00534B2A">
          <w:pgSz w:w="11906" w:h="16838" w:code="9"/>
          <w:pgMar w:top="851" w:right="567" w:bottom="851" w:left="1701" w:header="567" w:footer="567" w:gutter="0"/>
          <w:cols w:space="1296"/>
          <w:docGrid w:linePitch="360"/>
        </w:sectPr>
      </w:pPr>
    </w:p>
    <w:p w:rsidR="00534B2A" w:rsidRDefault="0081329E">
      <w:pPr>
        <w:ind w:firstLine="5103"/>
        <w:rPr>
          <w:lang w:eastAsia="ar-SA"/>
        </w:rPr>
      </w:pPr>
      <w:r>
        <w:rPr>
          <w:lang w:eastAsia="ar-SA"/>
        </w:rPr>
        <w:lastRenderedPageBreak/>
        <w:t>PATVIRTINTA</w:t>
      </w:r>
    </w:p>
    <w:p w:rsidR="00534B2A" w:rsidRDefault="0081329E">
      <w:pPr>
        <w:ind w:left="5103"/>
        <w:rPr>
          <w:lang w:eastAsia="ar-SA"/>
        </w:rPr>
      </w:pPr>
      <w:r>
        <w:rPr>
          <w:lang w:eastAsia="ar-SA"/>
        </w:rPr>
        <w:t>Visagino savivaldybės tarybos</w:t>
      </w:r>
    </w:p>
    <w:p w:rsidR="00534B2A" w:rsidRDefault="0081329E">
      <w:pPr>
        <w:ind w:left="5103"/>
        <w:rPr>
          <w:lang w:eastAsia="ar-SA"/>
        </w:rPr>
      </w:pPr>
      <w:r>
        <w:rPr>
          <w:lang w:eastAsia="lt-LT"/>
        </w:rPr>
        <w:t>2016 m. birželio 30 d.</w:t>
      </w:r>
      <w:r>
        <w:rPr>
          <w:lang w:eastAsia="ar-SA"/>
        </w:rPr>
        <w:t xml:space="preserve"> sprendimu  Nr. TS-126</w:t>
      </w:r>
    </w:p>
    <w:p w:rsidR="00534B2A" w:rsidRDefault="00534B2A">
      <w:pPr>
        <w:jc w:val="center"/>
        <w:rPr>
          <w:rFonts w:eastAsia="Calibri"/>
          <w:szCs w:val="24"/>
        </w:rPr>
      </w:pPr>
    </w:p>
    <w:p w:rsidR="00534B2A" w:rsidRDefault="0081329E">
      <w:pPr>
        <w:jc w:val="center"/>
        <w:rPr>
          <w:rFonts w:eastAsia="Calibri"/>
          <w:b/>
          <w:szCs w:val="24"/>
        </w:rPr>
      </w:pPr>
      <w:r>
        <w:rPr>
          <w:rFonts w:eastAsia="Calibri"/>
          <w:b/>
          <w:szCs w:val="24"/>
        </w:rPr>
        <w:t>VISAGINO SAVIVALDYBĖS NEFORMALIOJO SUAUGUSIŲJŲ ŠVIETIMO IR TĘSTINIO MOKYMOSI PROGRAMŲ, FINANSUOJAMŲ SAVIVALDYBĖS BIUDŽETO LĖŠOMIS, FINANSAVIMO IR ATRANKOS TVARKOS APRAŠAS</w:t>
      </w:r>
    </w:p>
    <w:p w:rsidR="00534B2A" w:rsidRDefault="00534B2A">
      <w:pPr>
        <w:jc w:val="center"/>
        <w:rPr>
          <w:rFonts w:eastAsia="Calibri"/>
          <w:szCs w:val="24"/>
        </w:rPr>
      </w:pPr>
    </w:p>
    <w:p w:rsidR="00534B2A" w:rsidRDefault="0081329E">
      <w:pPr>
        <w:jc w:val="center"/>
        <w:rPr>
          <w:rFonts w:eastAsia="Calibri"/>
          <w:b/>
          <w:szCs w:val="24"/>
        </w:rPr>
      </w:pPr>
      <w:r>
        <w:rPr>
          <w:rFonts w:eastAsia="Calibri"/>
          <w:b/>
          <w:szCs w:val="24"/>
        </w:rPr>
        <w:t>I SKYRIUS</w:t>
      </w:r>
    </w:p>
    <w:p w:rsidR="00534B2A" w:rsidRDefault="0081329E">
      <w:pPr>
        <w:jc w:val="center"/>
        <w:rPr>
          <w:rFonts w:eastAsia="Calibri"/>
          <w:b/>
          <w:szCs w:val="24"/>
        </w:rPr>
      </w:pPr>
      <w:r>
        <w:rPr>
          <w:rFonts w:eastAsia="Calibri"/>
          <w:b/>
          <w:szCs w:val="24"/>
        </w:rPr>
        <w:t>BENDROSIOS NUOSTATOS</w:t>
      </w:r>
    </w:p>
    <w:p w:rsidR="00534B2A" w:rsidRDefault="00534B2A">
      <w:pPr>
        <w:ind w:firstLine="1276"/>
        <w:jc w:val="both"/>
        <w:rPr>
          <w:rFonts w:eastAsia="Calibri"/>
          <w:szCs w:val="24"/>
        </w:rPr>
      </w:pPr>
    </w:p>
    <w:p w:rsidR="00534B2A" w:rsidRDefault="0081329E">
      <w:pPr>
        <w:ind w:firstLine="720"/>
        <w:jc w:val="both"/>
        <w:rPr>
          <w:rFonts w:eastAsia="Calibri"/>
        </w:rPr>
      </w:pPr>
      <w:r>
        <w:rPr>
          <w:rFonts w:eastAsia="Calibri"/>
        </w:rPr>
        <w:t>1. Visagino savivaldybės neformaliojo suaugusiųjų švietimo ir tęstinio mokymosi programų, finansuojamų savivaldybės biudžeto lėšomis, finansavimo ir atrankos tvarkos aprašas (toliau – Aprašas) nustato savivaldybės biudžeto lėšų skyrimo mokymuisi pagal neformaliojo suaugusiųjų švietimo ir tęstinio mokymosi programas (toliau – Programos) Programų atrankos organizavimo, reikalavimų Programoms ir Programų vykdytojams, Programų finansavimo, lėšų naudojimo ir atsiskaitymo už jų naudojimą tvarką.</w:t>
      </w:r>
    </w:p>
    <w:p w:rsidR="00534B2A" w:rsidRDefault="0081329E">
      <w:pPr>
        <w:ind w:firstLine="720"/>
        <w:jc w:val="both"/>
        <w:rPr>
          <w:rFonts w:eastAsia="Calibri"/>
        </w:rPr>
      </w:pPr>
      <w:r>
        <w:rPr>
          <w:rFonts w:eastAsia="Calibri"/>
        </w:rPr>
        <w:t>2. Apraše vartojamos sąvokos atitinka Lietuvos Respublikos švietimo įstatyme, Lietuvos Respublikos neformaliojo suaugusiųjų švietimo ir tęstinio mokymosi įstatyme vartojamas sąvokas.</w:t>
      </w:r>
    </w:p>
    <w:p w:rsidR="00534B2A" w:rsidRDefault="00534B2A">
      <w:pPr>
        <w:jc w:val="center"/>
        <w:rPr>
          <w:rFonts w:eastAsia="Calibri"/>
        </w:rPr>
      </w:pPr>
    </w:p>
    <w:p w:rsidR="00534B2A" w:rsidRDefault="0081329E">
      <w:pPr>
        <w:jc w:val="center"/>
        <w:rPr>
          <w:rFonts w:eastAsia="Calibri"/>
          <w:b/>
          <w:szCs w:val="24"/>
        </w:rPr>
      </w:pPr>
      <w:r>
        <w:rPr>
          <w:rFonts w:eastAsia="Calibri"/>
          <w:b/>
          <w:szCs w:val="24"/>
        </w:rPr>
        <w:t>II SKYRIUS</w:t>
      </w:r>
    </w:p>
    <w:p w:rsidR="00534B2A" w:rsidRDefault="0081329E">
      <w:pPr>
        <w:jc w:val="center"/>
        <w:rPr>
          <w:rFonts w:eastAsia="Calibri"/>
          <w:b/>
          <w:szCs w:val="24"/>
        </w:rPr>
      </w:pPr>
      <w:r>
        <w:rPr>
          <w:rFonts w:eastAsia="Calibri"/>
          <w:b/>
          <w:szCs w:val="24"/>
        </w:rPr>
        <w:t>PROGRAMŲ ATRANKOS ORGANIZAVIMAS</w:t>
      </w:r>
    </w:p>
    <w:p w:rsidR="00534B2A" w:rsidRDefault="00534B2A">
      <w:pPr>
        <w:jc w:val="center"/>
        <w:rPr>
          <w:rFonts w:eastAsia="Calibri"/>
          <w:b/>
          <w:szCs w:val="24"/>
        </w:rPr>
      </w:pPr>
    </w:p>
    <w:p w:rsidR="00534B2A" w:rsidRDefault="0081329E">
      <w:pPr>
        <w:ind w:firstLine="720"/>
        <w:jc w:val="both"/>
      </w:pPr>
      <w:r>
        <w:t>3. Programų atranką organizuoja Visagino savivaldybės administracija. Informacija apie atrankos sąlygas skelbiama per dvi savaites po savivaldybės biudžeto patvirtinimo Visagino savivaldybės interneto svetainėje www.visaginas.lt. Projektų paraiškas teikėjai iki Programų atrankos sąlygose nustatytos datos teikia savivaldybės administracijai.</w:t>
      </w:r>
    </w:p>
    <w:p w:rsidR="00534B2A" w:rsidRDefault="0081329E">
      <w:pPr>
        <w:ind w:firstLine="720"/>
        <w:jc w:val="both"/>
        <w:rPr>
          <w:rFonts w:eastAsia="Calibri"/>
        </w:rPr>
      </w:pPr>
      <w:r>
        <w:rPr>
          <w:rFonts w:eastAsia="Calibri"/>
        </w:rPr>
        <w:t>4. Neformaliojo suaugusiųjų švietimo programų ir tęstinio mokymo teikėjas (toliau – Programos vykdytojas) savivaldybės administracijai paskelbus informaciją apie Programų atranką teikia:</w:t>
      </w:r>
    </w:p>
    <w:p w:rsidR="00534B2A" w:rsidRDefault="0081329E">
      <w:pPr>
        <w:ind w:firstLine="720"/>
        <w:jc w:val="both"/>
        <w:rPr>
          <w:rFonts w:eastAsia="Calibri"/>
        </w:rPr>
      </w:pPr>
      <w:r>
        <w:rPr>
          <w:rFonts w:eastAsia="Calibri"/>
        </w:rPr>
        <w:t>4.1. užpildytą Programos paraišką pagal Aprašo 1 priedą;</w:t>
      </w:r>
    </w:p>
    <w:p w:rsidR="00534B2A" w:rsidRDefault="0081329E">
      <w:pPr>
        <w:ind w:firstLine="720"/>
        <w:jc w:val="both"/>
        <w:rPr>
          <w:rFonts w:eastAsia="Calibri"/>
        </w:rPr>
      </w:pPr>
      <w:r>
        <w:rPr>
          <w:rFonts w:eastAsia="Calibri"/>
        </w:rPr>
        <w:t xml:space="preserve">4.2. dokumentus, kurie patvirtina </w:t>
      </w:r>
      <w:r>
        <w:rPr>
          <w:bCs/>
        </w:rPr>
        <w:t>Mokymosi pagal neformaliojo suaugusiųjų švietimo ir tęstinio mokymosi programas finansavimo metodikos, patvirtintos Lietuvos Respublikos Vyriausybės 2016 m. sausio 14 d. nutarimu Nr. 22 „Dėl Mokymosi pagal neformaliojo suaugusiųjų švietimo ir tęstinio mokymosi programų, finansuojamų savivaldybės biudžeto lėšomis, finansavimo metodikos patvirtinimo“ (toliau – Metodika), 13</w:t>
      </w:r>
      <w:r>
        <w:rPr>
          <w:rFonts w:eastAsia="Calibri"/>
        </w:rPr>
        <w:t xml:space="preserve"> punkte nurodytus reikalavimus;</w:t>
      </w:r>
    </w:p>
    <w:p w:rsidR="00534B2A" w:rsidRDefault="0081329E">
      <w:pPr>
        <w:ind w:firstLine="720"/>
        <w:jc w:val="both"/>
        <w:rPr>
          <w:rFonts w:eastAsia="Calibri"/>
        </w:rPr>
      </w:pPr>
      <w:r>
        <w:rPr>
          <w:rFonts w:eastAsia="Calibri"/>
        </w:rPr>
        <w:t>4.3. teikėjo įstatų (nuostatų) patvirtintą kopiją;</w:t>
      </w:r>
    </w:p>
    <w:p w:rsidR="00534B2A" w:rsidRDefault="0081329E">
      <w:pPr>
        <w:ind w:firstLine="720"/>
        <w:jc w:val="both"/>
        <w:rPr>
          <w:rFonts w:eastAsia="Calibri"/>
        </w:rPr>
      </w:pPr>
      <w:r>
        <w:rPr>
          <w:rFonts w:eastAsia="Calibri"/>
        </w:rPr>
        <w:t>4.4. jeigu Programos įgyvendinime dalyvauja partneris, teikiama partnerio įstatų (nuostatų) kopija ir bendradarbiavimo arba jungtinės veiklos (partnerystės) sutarties dėl atrankai teikiamos Programos vykdymo kopija.</w:t>
      </w:r>
    </w:p>
    <w:p w:rsidR="00534B2A" w:rsidRDefault="0081329E">
      <w:pPr>
        <w:ind w:firstLine="720"/>
        <w:jc w:val="both"/>
        <w:rPr>
          <w:rFonts w:eastAsia="Calibri"/>
        </w:rPr>
      </w:pPr>
      <w:r>
        <w:rPr>
          <w:rFonts w:eastAsia="Calibri"/>
        </w:rPr>
        <w:t xml:space="preserve">5. Paraiška su visais priedais pateikiama </w:t>
      </w:r>
      <w:proofErr w:type="spellStart"/>
      <w:r>
        <w:rPr>
          <w:rFonts w:eastAsia="Calibri"/>
        </w:rPr>
        <w:t>užantspausduotame</w:t>
      </w:r>
      <w:proofErr w:type="spellEnd"/>
      <w:r>
        <w:rPr>
          <w:rFonts w:eastAsia="Calibri"/>
        </w:rPr>
        <w:t xml:space="preserve"> voke, sunumeruotais lapais, susegta (surišta). Programų atrankai pasibaigus pateikti dokumentai pareiškėjams negrąžinami.</w:t>
      </w:r>
    </w:p>
    <w:p w:rsidR="00534B2A" w:rsidRDefault="0081329E">
      <w:pPr>
        <w:ind w:firstLine="720"/>
        <w:jc w:val="both"/>
        <w:rPr>
          <w:rFonts w:eastAsia="Calibri"/>
        </w:rPr>
      </w:pPr>
      <w:r>
        <w:rPr>
          <w:rFonts w:eastAsia="Calibri"/>
        </w:rPr>
        <w:t>6. Pasibaigus paraiškų priėmimo terminui, per dvi savaites atliekamas Programų paraiškų ir jos priedų tinkamumo vertinimas. Pateiktas paraiškas svarsto Savivaldybės administracijos direktoriaus įsakymu</w:t>
      </w:r>
      <w:r>
        <w:t xml:space="preserve"> iš 5 narių </w:t>
      </w:r>
      <w:r>
        <w:rPr>
          <w:rFonts w:eastAsia="Calibri"/>
        </w:rPr>
        <w:t>sudaryta Neformaliojo suaugusiųjų švietimo programų vertinimo komisija (toliau – Komisija).</w:t>
      </w:r>
    </w:p>
    <w:p w:rsidR="00534B2A" w:rsidRDefault="0081329E">
      <w:pPr>
        <w:ind w:firstLine="720"/>
        <w:jc w:val="both"/>
        <w:rPr>
          <w:rFonts w:eastAsia="Calibri"/>
        </w:rPr>
      </w:pPr>
      <w:r>
        <w:rPr>
          <w:rFonts w:eastAsia="Calibri"/>
        </w:rPr>
        <w:t>7. Komisija įvertina pateiktas programas, nustato programų vykdytojų atitiktį nustatytiems reikalavimams pagal Aprašo 2 priedą. Komisijos sprendimai įforminami posėdžio protokolu.</w:t>
      </w:r>
    </w:p>
    <w:p w:rsidR="00534B2A" w:rsidRDefault="0081329E">
      <w:pPr>
        <w:ind w:firstLine="720"/>
        <w:jc w:val="both"/>
        <w:rPr>
          <w:rFonts w:eastAsia="Calibri"/>
        </w:rPr>
      </w:pPr>
      <w:r>
        <w:rPr>
          <w:rFonts w:eastAsia="Calibri"/>
        </w:rPr>
        <w:t xml:space="preserve">8. Savivaldybės administracijos direktorius, atsižvelgdamas į Komisijos sprendimą, įsakymu patvirtina atrinktų programų sąrašus. </w:t>
      </w:r>
    </w:p>
    <w:p w:rsidR="00534B2A" w:rsidRDefault="00534B2A">
      <w:pPr>
        <w:ind w:firstLine="720"/>
        <w:jc w:val="both"/>
        <w:rPr>
          <w:rFonts w:eastAsia="Calibri"/>
          <w:szCs w:val="24"/>
        </w:rPr>
      </w:pPr>
    </w:p>
    <w:p w:rsidR="00534B2A" w:rsidRDefault="0081329E">
      <w:pPr>
        <w:jc w:val="center"/>
        <w:rPr>
          <w:rFonts w:eastAsia="Calibri"/>
          <w:b/>
          <w:szCs w:val="24"/>
        </w:rPr>
      </w:pPr>
      <w:r>
        <w:rPr>
          <w:rFonts w:eastAsia="Calibri"/>
          <w:b/>
          <w:szCs w:val="24"/>
        </w:rPr>
        <w:t>III SKYRIUS</w:t>
      </w:r>
    </w:p>
    <w:p w:rsidR="00534B2A" w:rsidRDefault="0081329E">
      <w:pPr>
        <w:jc w:val="center"/>
        <w:rPr>
          <w:rFonts w:eastAsia="Calibri"/>
          <w:b/>
          <w:szCs w:val="24"/>
        </w:rPr>
      </w:pPr>
      <w:r>
        <w:rPr>
          <w:rFonts w:eastAsia="Calibri"/>
          <w:b/>
          <w:szCs w:val="24"/>
        </w:rPr>
        <w:t>REIKALAVIMAI PROGRAMOMS IR PROGRAMŲ VYKDYTOJAMS</w:t>
      </w:r>
    </w:p>
    <w:p w:rsidR="00534B2A" w:rsidRDefault="00534B2A">
      <w:pPr>
        <w:jc w:val="center"/>
        <w:rPr>
          <w:rFonts w:eastAsia="Calibri"/>
          <w:b/>
          <w:szCs w:val="24"/>
        </w:rPr>
      </w:pPr>
    </w:p>
    <w:p w:rsidR="00534B2A" w:rsidRDefault="0081329E">
      <w:pPr>
        <w:ind w:firstLine="720"/>
        <w:jc w:val="both"/>
        <w:rPr>
          <w:bCs/>
        </w:rPr>
      </w:pPr>
      <w:r>
        <w:rPr>
          <w:szCs w:val="24"/>
          <w:lang w:eastAsia="lt-LT"/>
        </w:rPr>
        <w:lastRenderedPageBreak/>
        <w:t xml:space="preserve">9. Teikiamos Programos turi atitikti </w:t>
      </w:r>
      <w:r>
        <w:rPr>
          <w:bCs/>
        </w:rPr>
        <w:t>vieną iš Metodikos 11 punkte nustatytų programos turinio ir siekiamų rezultatų atitikties sąlygų, Metodikos 12 punkte nustatytus programos atrankos vertinimo kriterijus, Metodikos 13 punkte nustatytus reikalavimus vykdytojui.</w:t>
      </w:r>
    </w:p>
    <w:p w:rsidR="00534B2A" w:rsidRDefault="0081329E">
      <w:pPr>
        <w:ind w:firstLine="720"/>
        <w:jc w:val="both"/>
        <w:rPr>
          <w:rFonts w:eastAsia="Calibri"/>
          <w:b/>
          <w:szCs w:val="24"/>
        </w:rPr>
      </w:pPr>
      <w:r>
        <w:rPr>
          <w:color w:val="000000"/>
          <w:lang w:eastAsia="lt-LT"/>
        </w:rPr>
        <w:t>10. Programos apimtis turi būti ne mažesnė kaip 40 kontaktinio darbo valandų (kontaktinio darbo valanda – 60 min) ir ne didesnė kaip 120 kontaktinio darbo valandų. Minimalus besimokančiųjų skaičius grupėje – 12 asmenų.</w:t>
      </w:r>
      <w:r>
        <w:t xml:space="preserve"> </w:t>
      </w:r>
    </w:p>
    <w:p w:rsidR="00534B2A" w:rsidRDefault="0081329E">
      <w:pPr>
        <w:rPr>
          <w:rFonts w:eastAsia="MS Mincho"/>
          <w:i/>
          <w:iCs/>
          <w:sz w:val="20"/>
        </w:rPr>
      </w:pPr>
      <w:r>
        <w:rPr>
          <w:rFonts w:eastAsia="MS Mincho"/>
          <w:i/>
          <w:iCs/>
          <w:sz w:val="20"/>
        </w:rPr>
        <w:t>Punkto pakeitimai:</w:t>
      </w:r>
    </w:p>
    <w:p w:rsidR="00534B2A" w:rsidRDefault="0081329E">
      <w:pPr>
        <w:jc w:val="both"/>
        <w:rPr>
          <w:rFonts w:eastAsia="MS Mincho"/>
          <w:i/>
          <w:iCs/>
          <w:sz w:val="20"/>
        </w:rPr>
      </w:pPr>
      <w:r>
        <w:rPr>
          <w:rFonts w:eastAsia="MS Mincho"/>
          <w:i/>
          <w:iCs/>
          <w:sz w:val="20"/>
        </w:rPr>
        <w:t xml:space="preserve">Nr. </w:t>
      </w:r>
      <w:hyperlink r:id="rId5" w:history="1">
        <w:r w:rsidRPr="00532B9F">
          <w:rPr>
            <w:rFonts w:eastAsia="MS Mincho"/>
            <w:i/>
            <w:iCs/>
            <w:color w:val="0563C1" w:themeColor="hyperlink"/>
            <w:sz w:val="20"/>
            <w:u w:val="single"/>
          </w:rPr>
          <w:t>TS-69</w:t>
        </w:r>
      </w:hyperlink>
      <w:r>
        <w:rPr>
          <w:rFonts w:eastAsia="MS Mincho"/>
          <w:i/>
          <w:iCs/>
          <w:sz w:val="20"/>
        </w:rPr>
        <w:t>, 2019-03-28, paskelbta TAR 2019-04-03, i. k. 2019-05388</w:t>
      </w:r>
    </w:p>
    <w:p w:rsidR="00534B2A" w:rsidRDefault="00534B2A"/>
    <w:p w:rsidR="00534B2A" w:rsidRDefault="0081329E">
      <w:pPr>
        <w:ind w:firstLine="720"/>
        <w:jc w:val="both"/>
        <w:rPr>
          <w:rFonts w:eastAsia="Calibri"/>
          <w:szCs w:val="24"/>
        </w:rPr>
      </w:pPr>
      <w:r>
        <w:rPr>
          <w:color w:val="000000"/>
          <w:lang w:eastAsia="lt-LT"/>
        </w:rPr>
        <w:t xml:space="preserve">11. </w:t>
      </w:r>
      <w:r>
        <w:rPr>
          <w:rFonts w:eastAsia="Calibri"/>
        </w:rPr>
        <w:t xml:space="preserve">Maksimali metinė lėšų suma, skirta vienai programai įgyvendinti, gali būti iki 5000 eurų. </w:t>
      </w:r>
      <w:r>
        <w:rPr>
          <w:szCs w:val="24"/>
          <w:lang w:eastAsia="lt-LT"/>
        </w:rPr>
        <w:t>Jeigu programai vykdyti reikalinga lėšų suma viršija maksimalią galimą skirti lėšų sumą, programos vykdytojas privalo užtikrinti, kad likusi programos vykdymo išlaidų dalis būtų finansuojama iš kitų finansavimo šaltinių</w:t>
      </w:r>
      <w:r>
        <w:t xml:space="preserve"> </w:t>
      </w:r>
    </w:p>
    <w:p w:rsidR="00534B2A" w:rsidRDefault="0081329E">
      <w:pPr>
        <w:rPr>
          <w:rFonts w:eastAsia="MS Mincho"/>
          <w:i/>
          <w:iCs/>
          <w:sz w:val="20"/>
        </w:rPr>
      </w:pPr>
      <w:r>
        <w:rPr>
          <w:rFonts w:eastAsia="MS Mincho"/>
          <w:i/>
          <w:iCs/>
          <w:sz w:val="20"/>
        </w:rPr>
        <w:t>Punkto pakeitimai:</w:t>
      </w:r>
    </w:p>
    <w:p w:rsidR="00534B2A" w:rsidRDefault="0081329E">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TS-69</w:t>
        </w:r>
      </w:hyperlink>
      <w:r>
        <w:rPr>
          <w:rFonts w:eastAsia="MS Mincho"/>
          <w:i/>
          <w:iCs/>
          <w:sz w:val="20"/>
        </w:rPr>
        <w:t>, 2019-03-28, paskelbta TAR 2019-04-03, i. k. 2019-05388</w:t>
      </w:r>
    </w:p>
    <w:p w:rsidR="00534B2A" w:rsidRDefault="00534B2A"/>
    <w:p w:rsidR="00534B2A" w:rsidRDefault="0081329E">
      <w:pPr>
        <w:ind w:firstLine="1440"/>
        <w:jc w:val="both"/>
        <w:rPr>
          <w:rFonts w:eastAsia="Calibri"/>
          <w:szCs w:val="24"/>
        </w:rPr>
      </w:pPr>
      <w:r>
        <w:rPr>
          <w:rFonts w:eastAsia="Calibri"/>
          <w:szCs w:val="24"/>
        </w:rPr>
        <w:t>12. Vykdomų programų kokybė turi atitikti Lietuvos Respublikos neformaliojo suaugusiųjų švietimo ir tęstinio mokymosi įstatymo 10 straipsnio nuostatas.</w:t>
      </w:r>
    </w:p>
    <w:p w:rsidR="00534B2A" w:rsidRDefault="0081329E">
      <w:pPr>
        <w:ind w:firstLine="1440"/>
        <w:jc w:val="both"/>
        <w:rPr>
          <w:rFonts w:eastAsia="Calibri"/>
          <w:szCs w:val="24"/>
        </w:rPr>
      </w:pPr>
      <w:r>
        <w:rPr>
          <w:rFonts w:eastAsia="Calibri"/>
          <w:szCs w:val="24"/>
        </w:rPr>
        <w:t>13. Programų įgyvendinimo finansinę priežiūrą ir kontrolę vykdo Visagino savivaldybės administracija.</w:t>
      </w:r>
    </w:p>
    <w:p w:rsidR="00534B2A" w:rsidRDefault="0081329E">
      <w:pPr>
        <w:ind w:firstLine="1440"/>
        <w:jc w:val="both"/>
        <w:rPr>
          <w:rFonts w:eastAsia="Calibri"/>
          <w:szCs w:val="24"/>
        </w:rPr>
      </w:pPr>
      <w:r>
        <w:rPr>
          <w:rFonts w:eastAsia="Calibri"/>
          <w:szCs w:val="24"/>
        </w:rPr>
        <w:t>14. Įgyvendinant Programas sukurti produktai (pavyzdžiui: mokymo metodikos, mokymosi priemonės: vadovėliai, konspektai, užduočių rinkiniai, skaidrės, testai) turi būti viešai skelbiami Programos vykdytojo ar programas atrenkančios institucijos interneto svetainėse, siekiant didinti informacijos mokymuisi visą gyvenimą prieinamumą ir skatinti teigiamus šios srities pokyčius.</w:t>
      </w:r>
    </w:p>
    <w:p w:rsidR="00534B2A" w:rsidRDefault="00534B2A">
      <w:pPr>
        <w:jc w:val="both"/>
        <w:rPr>
          <w:rFonts w:eastAsia="Calibri"/>
          <w:szCs w:val="24"/>
        </w:rPr>
      </w:pPr>
    </w:p>
    <w:p w:rsidR="00534B2A" w:rsidRDefault="0081329E">
      <w:pPr>
        <w:jc w:val="center"/>
        <w:rPr>
          <w:rFonts w:eastAsia="Calibri"/>
          <w:b/>
          <w:szCs w:val="24"/>
        </w:rPr>
      </w:pPr>
      <w:r>
        <w:rPr>
          <w:rFonts w:eastAsia="Calibri"/>
          <w:b/>
          <w:szCs w:val="24"/>
        </w:rPr>
        <w:t>IV SKYRIUS</w:t>
      </w:r>
    </w:p>
    <w:p w:rsidR="00534B2A" w:rsidRDefault="0081329E">
      <w:pPr>
        <w:jc w:val="center"/>
        <w:rPr>
          <w:rFonts w:eastAsia="Calibri"/>
          <w:b/>
          <w:szCs w:val="24"/>
        </w:rPr>
      </w:pPr>
      <w:r>
        <w:rPr>
          <w:rFonts w:eastAsia="Calibri"/>
          <w:b/>
          <w:szCs w:val="24"/>
        </w:rPr>
        <w:t>PROGRAMŲ FINANSAVIMAS, LĖŠŲ NAUDOJIMAS IR ATSISKAITYMAS UŽ JŲ NAUDOJIMĄ</w:t>
      </w:r>
    </w:p>
    <w:p w:rsidR="00534B2A" w:rsidRDefault="00534B2A">
      <w:pPr>
        <w:jc w:val="center"/>
        <w:rPr>
          <w:rFonts w:eastAsia="Calibri"/>
          <w:b/>
          <w:szCs w:val="24"/>
        </w:rPr>
      </w:pPr>
    </w:p>
    <w:p w:rsidR="00534B2A" w:rsidRDefault="0081329E">
      <w:pPr>
        <w:tabs>
          <w:tab w:val="left" w:pos="709"/>
        </w:tabs>
        <w:ind w:firstLine="720"/>
        <w:jc w:val="both"/>
        <w:rPr>
          <w:rFonts w:eastAsia="Calibri"/>
          <w:szCs w:val="24"/>
        </w:rPr>
      </w:pPr>
      <w:r>
        <w:rPr>
          <w:rFonts w:eastAsia="Calibri"/>
        </w:rPr>
        <w:t>15. Formuojant savivaldybės ateinančių metų biudžetą, savivaldybės administracija, atsižvelgdama į savivaldybės finansines galimybes, ankstesnių metų faktinį lėšų panaudojimą, programų efektyvumą ir kokybę, teikia siūlymus savivaldybės tarybai skirti lėšas programoms finansuoti pagal Švietimo paslaugų plėtros programos (kodas 02) 02.01 tikslo 02.01.02.01 priemonę. Lėšų programoms įgyvendinti paskirstymas tvirtinamas Visagino savivaldybės administracijos direktoriaus įsakymu.</w:t>
      </w:r>
    </w:p>
    <w:p w:rsidR="00534B2A" w:rsidRDefault="0081329E">
      <w:pPr>
        <w:tabs>
          <w:tab w:val="left" w:pos="709"/>
        </w:tabs>
        <w:ind w:firstLine="720"/>
        <w:jc w:val="both"/>
        <w:rPr>
          <w:rFonts w:eastAsia="Calibri"/>
          <w:szCs w:val="24"/>
        </w:rPr>
      </w:pPr>
      <w:r>
        <w:rPr>
          <w:rFonts w:eastAsia="Calibri"/>
          <w:szCs w:val="24"/>
        </w:rPr>
        <w:t>16.</w:t>
      </w:r>
      <w:r>
        <w:rPr>
          <w:rFonts w:eastAsia="Calibri"/>
        </w:rPr>
        <w:t xml:space="preserve"> Programos vykdytojas dėl programos </w:t>
      </w:r>
      <w:r>
        <w:rPr>
          <w:rFonts w:eastAsia="Calibri"/>
          <w:szCs w:val="24"/>
        </w:rPr>
        <w:t xml:space="preserve">finansavimo sudaro sutartį su savivaldybės administracijos direktoriumi. </w:t>
      </w:r>
      <w:r>
        <w:t>Prie sutarties pridedama detali Programai skirtų lėšų išlaidų sąmata, parengta pagal Programos sąmatos BFP-1 formą, patvirtintą Lietuvos Respublikos finansų ministro 2009 m. sausio 14 d. įsakymu Nr. 1K-006 „Dėl Lietuvos Respublikos valstybės biudžeto programų sąmatų ir pažymų apie valstybės biudžeto asignavimų pakeitimus formų patvirtinimo“. Sutartyje numatomi terminai dėl lėšų pervedimo Programos vykdytojui.</w:t>
      </w:r>
    </w:p>
    <w:p w:rsidR="00534B2A" w:rsidRDefault="0081329E">
      <w:pPr>
        <w:tabs>
          <w:tab w:val="left" w:pos="709"/>
        </w:tabs>
        <w:ind w:firstLine="720"/>
        <w:jc w:val="both"/>
        <w:rPr>
          <w:rFonts w:eastAsia="Calibri"/>
          <w:szCs w:val="24"/>
        </w:rPr>
      </w:pPr>
      <w:r>
        <w:rPr>
          <w:rFonts w:eastAsia="Calibri"/>
          <w:szCs w:val="24"/>
        </w:rPr>
        <w:t xml:space="preserve">17. Programoms vykdyti skirtos lėšos pervedamos Metodikos 21 punkte nustatyta tvarka, pagal pateiktą paraišką-leidimą finansavimui gauti. </w:t>
      </w:r>
    </w:p>
    <w:p w:rsidR="00534B2A" w:rsidRDefault="0081329E">
      <w:pPr>
        <w:ind w:firstLine="1440"/>
        <w:jc w:val="both"/>
        <w:rPr>
          <w:rFonts w:eastAsia="Calibri"/>
          <w:szCs w:val="24"/>
        </w:rPr>
      </w:pPr>
      <w:r>
        <w:rPr>
          <w:rFonts w:eastAsia="Calibri"/>
          <w:szCs w:val="24"/>
        </w:rPr>
        <w:t xml:space="preserve">18. Įgyvendinęs programą Programos vykdytojas Visagino savivaldybės administracijai iki kito mėnesio 5 d. pateikia: </w:t>
      </w:r>
    </w:p>
    <w:p w:rsidR="00534B2A" w:rsidRDefault="0081329E">
      <w:pPr>
        <w:ind w:firstLine="1440"/>
        <w:jc w:val="both"/>
      </w:pPr>
      <w:r>
        <w:rPr>
          <w:rFonts w:eastAsia="Calibri"/>
          <w:szCs w:val="24"/>
        </w:rPr>
        <w:t>18.1.</w:t>
      </w:r>
      <w:r>
        <w:t xml:space="preserve"> dalykinę ataskaitą pagal Aprašo 3 priedą;</w:t>
      </w:r>
    </w:p>
    <w:p w:rsidR="00534B2A" w:rsidRDefault="0081329E">
      <w:pPr>
        <w:ind w:firstLine="1440"/>
        <w:jc w:val="both"/>
      </w:pPr>
      <w:r>
        <w:t xml:space="preserve">18.2. </w:t>
      </w:r>
      <w:r>
        <w:rPr>
          <w:rFonts w:eastAsia="Calibri"/>
          <w:szCs w:val="24"/>
        </w:rPr>
        <w:t xml:space="preserve">ataskaitą apie lėšų panaudojimą </w:t>
      </w:r>
      <w:r>
        <w:t>– formą Nr. 2 (Metinė, ketvirtinė biudžeto išlaidų sąmatos vykdymo 20__ m. d. ataskaita, patvirtinta Lietuvos Respublikos finansų ministro 2008 m. gruodžio 31 d. įsakymu Nr. 1K-465 „Dėl Valstybės ir savivaldybių biudžetinių įstaigų ir kitų subjektų žemesniojo lygio biudžeto vykdymo ataskaitų sudarymo taisyklių ir formų patvirtinimo“) ir banko išrašą apie lėšų likutį sąskaitoje.</w:t>
      </w:r>
    </w:p>
    <w:p w:rsidR="00534B2A" w:rsidRDefault="0081329E">
      <w:pPr>
        <w:ind w:firstLine="1440"/>
        <w:jc w:val="both"/>
      </w:pPr>
      <w:r>
        <w:rPr>
          <w:rFonts w:eastAsia="Calibri"/>
          <w:szCs w:val="24"/>
        </w:rPr>
        <w:t xml:space="preserve">19. Tinkamomis programos vykdymo išlaidomis pripažįstamos tik tokios lėšos, kurios įvardintos Lietuvos Respublikos švietimo įstatymo 2 straipsnio 13 punkte. </w:t>
      </w:r>
    </w:p>
    <w:p w:rsidR="00534B2A" w:rsidRDefault="0081329E">
      <w:pPr>
        <w:ind w:firstLine="720"/>
        <w:jc w:val="both"/>
        <w:rPr>
          <w:rFonts w:eastAsia="Calibri"/>
        </w:rPr>
      </w:pPr>
      <w:r>
        <w:rPr>
          <w:rFonts w:eastAsia="Calibri"/>
        </w:rPr>
        <w:lastRenderedPageBreak/>
        <w:t xml:space="preserve">20. Programos teikėjas pasibaigus programai, bet ne vėliau kaip iki kalendorinių metų gruodžio 25 d., skirtas ir nepanaudotas arba netinkamai panaudotas lėšas turi grąžinti į savivaldybės sąskaitą sutartyje nustatyta tvarka. </w:t>
      </w:r>
    </w:p>
    <w:p w:rsidR="00534B2A" w:rsidRDefault="00534B2A">
      <w:pPr>
        <w:jc w:val="both"/>
        <w:rPr>
          <w:rFonts w:eastAsia="Calibri"/>
        </w:rPr>
      </w:pPr>
    </w:p>
    <w:p w:rsidR="00534B2A" w:rsidRDefault="0081329E">
      <w:pPr>
        <w:jc w:val="center"/>
        <w:rPr>
          <w:rFonts w:eastAsia="Calibri"/>
          <w:b/>
        </w:rPr>
      </w:pPr>
      <w:r>
        <w:rPr>
          <w:rFonts w:eastAsia="Calibri"/>
          <w:b/>
        </w:rPr>
        <w:t>V SKYRIUS</w:t>
      </w:r>
    </w:p>
    <w:p w:rsidR="00534B2A" w:rsidRDefault="0081329E">
      <w:pPr>
        <w:jc w:val="center"/>
        <w:rPr>
          <w:rFonts w:eastAsia="Calibri"/>
          <w:b/>
        </w:rPr>
      </w:pPr>
      <w:r>
        <w:rPr>
          <w:rFonts w:eastAsia="Calibri"/>
          <w:b/>
        </w:rPr>
        <w:t>BAIGIAMOSIOS NUOSTATOS</w:t>
      </w:r>
    </w:p>
    <w:p w:rsidR="00534B2A" w:rsidRDefault="00534B2A">
      <w:pPr>
        <w:jc w:val="both"/>
        <w:rPr>
          <w:rFonts w:eastAsia="Calibri"/>
        </w:rPr>
      </w:pPr>
    </w:p>
    <w:p w:rsidR="00534B2A" w:rsidRDefault="0081329E">
      <w:pPr>
        <w:ind w:firstLine="1440"/>
        <w:jc w:val="both"/>
        <w:rPr>
          <w:bCs/>
        </w:rPr>
      </w:pPr>
      <w:r>
        <w:rPr>
          <w:szCs w:val="24"/>
        </w:rPr>
        <w:t xml:space="preserve">21. </w:t>
      </w:r>
      <w:r>
        <w:t xml:space="preserve">Įsigaliojus naujiems teisės aktams, reglamentuojantiems </w:t>
      </w:r>
      <w:r>
        <w:rPr>
          <w:bCs/>
        </w:rPr>
        <w:t>mokymosi pagal neformaliojo suaugusiųjų švietimo ir tęstinio mokymosi programas finansavimo metodiką</w:t>
      </w:r>
      <w:r>
        <w:t>, Aprašas keičiamas, vadovaujantis naujomis teisės aktų nuostatomis.</w:t>
      </w:r>
      <w:r>
        <w:rPr>
          <w:bCs/>
        </w:rPr>
        <w:t xml:space="preserve"> </w:t>
      </w:r>
    </w:p>
    <w:p w:rsidR="00534B2A" w:rsidRDefault="0081329E">
      <w:pPr>
        <w:ind w:firstLine="1440"/>
        <w:jc w:val="both"/>
      </w:pPr>
      <w:r>
        <w:t>22. Ginčai, kylantys dėl paraiškos vertinimo rezultatų ar lėšų skyrimo, naudojimo ir atsiskaitymo, sprendžiami Lietuvos Respublikos teisės aktų nustatyta tvarka.</w:t>
      </w:r>
    </w:p>
    <w:p w:rsidR="00534B2A" w:rsidRDefault="00534B2A">
      <w:pPr>
        <w:ind w:firstLine="851"/>
        <w:jc w:val="both"/>
        <w:rPr>
          <w:bCs/>
        </w:rPr>
      </w:pPr>
    </w:p>
    <w:p w:rsidR="00534B2A" w:rsidRDefault="0081329E">
      <w:pPr>
        <w:ind w:firstLine="851"/>
        <w:jc w:val="center"/>
        <w:rPr>
          <w:rFonts w:eastAsia="Calibri"/>
          <w:szCs w:val="24"/>
        </w:rPr>
      </w:pPr>
      <w:r>
        <w:rPr>
          <w:rFonts w:eastAsia="Calibri"/>
          <w:szCs w:val="24"/>
        </w:rPr>
        <w:t>________________</w:t>
      </w:r>
    </w:p>
    <w:p w:rsidR="00534B2A" w:rsidRDefault="00534B2A">
      <w:pPr>
        <w:tabs>
          <w:tab w:val="left" w:pos="3960"/>
        </w:tabs>
        <w:ind w:left="4500"/>
        <w:sectPr w:rsidR="00534B2A">
          <w:pgSz w:w="11906" w:h="16838" w:code="9"/>
          <w:pgMar w:top="851" w:right="567" w:bottom="851" w:left="1701" w:header="567" w:footer="567" w:gutter="0"/>
          <w:cols w:space="1296"/>
          <w:docGrid w:linePitch="360"/>
        </w:sectPr>
      </w:pPr>
    </w:p>
    <w:p w:rsidR="00534B2A" w:rsidRDefault="0081329E">
      <w:pPr>
        <w:tabs>
          <w:tab w:val="left" w:pos="3960"/>
        </w:tabs>
        <w:ind w:left="4500"/>
      </w:pPr>
      <w:r>
        <w:lastRenderedPageBreak/>
        <w:t>Visagino savivaldybės neformaliojo suaugusiųjų</w:t>
      </w:r>
    </w:p>
    <w:p w:rsidR="00534B2A" w:rsidRDefault="0081329E">
      <w:pPr>
        <w:tabs>
          <w:tab w:val="left" w:pos="3960"/>
        </w:tabs>
        <w:ind w:left="4500"/>
      </w:pPr>
      <w:r>
        <w:t>švietimo ir tęstinio mokymosi programų,</w:t>
      </w:r>
    </w:p>
    <w:p w:rsidR="00534B2A" w:rsidRDefault="0081329E">
      <w:pPr>
        <w:tabs>
          <w:tab w:val="left" w:pos="3960"/>
        </w:tabs>
        <w:ind w:left="4500"/>
      </w:pPr>
      <w:r>
        <w:t>finansuojamų savivaldybės biudžeto lėšomis,</w:t>
      </w:r>
    </w:p>
    <w:p w:rsidR="00534B2A" w:rsidRDefault="0081329E">
      <w:pPr>
        <w:tabs>
          <w:tab w:val="left" w:pos="3960"/>
        </w:tabs>
        <w:ind w:left="4500"/>
      </w:pPr>
      <w:r>
        <w:t xml:space="preserve">finansavimo ir atrankos tvarkos aprašo </w:t>
      </w:r>
    </w:p>
    <w:p w:rsidR="00534B2A" w:rsidRDefault="0081329E">
      <w:pPr>
        <w:tabs>
          <w:tab w:val="left" w:pos="3960"/>
        </w:tabs>
        <w:ind w:left="4500"/>
      </w:pPr>
      <w:r>
        <w:t>1 priedas</w:t>
      </w:r>
    </w:p>
    <w:p w:rsidR="00534B2A" w:rsidRDefault="00534B2A">
      <w:pPr>
        <w:jc w:val="center"/>
        <w:rPr>
          <w:b/>
        </w:rPr>
      </w:pPr>
    </w:p>
    <w:p w:rsidR="00534B2A" w:rsidRDefault="0081329E">
      <w:pPr>
        <w:jc w:val="center"/>
        <w:rPr>
          <w:b/>
          <w:caps/>
        </w:rPr>
      </w:pPr>
      <w:r>
        <w:rPr>
          <w:b/>
          <w:caps/>
        </w:rPr>
        <w:t>(</w:t>
      </w:r>
      <w:r>
        <w:rPr>
          <w:b/>
        </w:rPr>
        <w:t>paraiškos gauti lėšų neformaliojo suaugusiųjų švietimo ir tęstinio mokymosi programai forma</w:t>
      </w:r>
      <w:r>
        <w:rPr>
          <w:b/>
          <w:caps/>
        </w:rPr>
        <w:t>)</w:t>
      </w:r>
    </w:p>
    <w:p w:rsidR="00534B2A" w:rsidRDefault="00534B2A">
      <w:pPr>
        <w:jc w:val="center"/>
        <w:rPr>
          <w:b/>
          <w:caps/>
        </w:rPr>
      </w:pPr>
    </w:p>
    <w:p w:rsidR="00534B2A" w:rsidRDefault="0081329E">
      <w:pPr>
        <w:jc w:val="center"/>
        <w:rPr>
          <w:b/>
          <w:caps/>
        </w:rPr>
      </w:pPr>
      <w:r>
        <w:rPr>
          <w:b/>
          <w:caps/>
        </w:rPr>
        <w:t>neformaliojo suaugusiųjų švietimo IR TĘSTINIO MOKYMOSI programos paraiška</w:t>
      </w:r>
    </w:p>
    <w:p w:rsidR="00534B2A" w:rsidRDefault="00534B2A">
      <w:pPr>
        <w:jc w:val="center"/>
        <w:rPr>
          <w:b/>
        </w:rPr>
      </w:pPr>
    </w:p>
    <w:p w:rsidR="00534B2A" w:rsidRDefault="0081329E">
      <w:pPr>
        <w:jc w:val="center"/>
      </w:pPr>
      <w:r>
        <w:t>20__ m. ________________  _____ d.</w:t>
      </w:r>
    </w:p>
    <w:p w:rsidR="00534B2A" w:rsidRDefault="00534B2A">
      <w:pPr>
        <w:jc w:val="center"/>
        <w:rPr>
          <w:vertAlign w:val="superscript"/>
        </w:rPr>
      </w:pPr>
    </w:p>
    <w:p w:rsidR="00534B2A" w:rsidRDefault="0081329E">
      <w:pPr>
        <w:jc w:val="center"/>
      </w:pPr>
      <w:r>
        <w:t>Visaginas</w:t>
      </w:r>
    </w:p>
    <w:p w:rsidR="00534B2A" w:rsidRDefault="00534B2A">
      <w:pPr>
        <w:jc w:val="center"/>
        <w:rPr>
          <w:b/>
        </w:rPr>
      </w:pPr>
    </w:p>
    <w:p w:rsidR="00534B2A" w:rsidRDefault="0081329E">
      <w:pPr>
        <w:jc w:val="center"/>
        <w:rPr>
          <w:b/>
        </w:rPr>
      </w:pPr>
      <w:r>
        <w:rPr>
          <w:b/>
        </w:rPr>
        <w:t>I SKYRIUS</w:t>
      </w:r>
    </w:p>
    <w:p w:rsidR="00534B2A" w:rsidRDefault="0081329E">
      <w:pPr>
        <w:tabs>
          <w:tab w:val="left" w:pos="360"/>
          <w:tab w:val="left" w:pos="540"/>
        </w:tabs>
        <w:jc w:val="center"/>
        <w:rPr>
          <w:b/>
        </w:rPr>
      </w:pPr>
      <w:r>
        <w:rPr>
          <w:b/>
        </w:rPr>
        <w:t>INFORMACIJA APIE PROGRAMOS VYKDYTOJĄ</w:t>
      </w:r>
    </w:p>
    <w:p w:rsidR="00534B2A" w:rsidRDefault="00534B2A">
      <w:pPr>
        <w:tabs>
          <w:tab w:val="left" w:pos="360"/>
          <w:tab w:val="left" w:pos="540"/>
        </w:tabs>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88"/>
      </w:tblGrid>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spacing w:line="254" w:lineRule="auto"/>
            </w:pPr>
            <w:r>
              <w:t>Juridinio asmens pavadinimas arba fizinio asmens vardas ir pavardė</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ind w:right="3852"/>
              <w:jc w:val="center"/>
              <w:rPr>
                <w:b/>
              </w:rPr>
            </w:pPr>
          </w:p>
        </w:tc>
      </w:tr>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spacing w:line="254" w:lineRule="auto"/>
            </w:pPr>
            <w:r>
              <w:t>Juridinio asmens kodas arba fizinio asmens gimimo data</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rPr>
                <w:b/>
              </w:rPr>
            </w:pPr>
          </w:p>
        </w:tc>
      </w:tr>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spacing w:line="254" w:lineRule="auto"/>
            </w:pPr>
            <w:r>
              <w:t>Juridinio asmens teisinė forma</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rPr>
                <w:b/>
              </w:rPr>
            </w:pPr>
          </w:p>
        </w:tc>
      </w:tr>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spacing w:line="254" w:lineRule="auto"/>
            </w:pPr>
            <w:r>
              <w:t>Juridinio asmens buveinės arba fizinio asmens gyvenamosios vietos adresas:</w:t>
            </w:r>
          </w:p>
          <w:p w:rsidR="00534B2A" w:rsidRDefault="0081329E">
            <w:pPr>
              <w:spacing w:line="254" w:lineRule="auto"/>
            </w:pPr>
            <w:r>
              <w:t>gatvė, namo numeris, pašto indeksas, vietovė</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rPr>
                <w:b/>
              </w:rPr>
            </w:pPr>
          </w:p>
        </w:tc>
      </w:tr>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spacing w:line="254" w:lineRule="auto"/>
            </w:pPr>
            <w:r>
              <w:t>Tel.</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rPr>
                <w:b/>
              </w:rPr>
            </w:pPr>
          </w:p>
        </w:tc>
      </w:tr>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tabs>
                <w:tab w:val="left" w:pos="1740"/>
              </w:tabs>
              <w:spacing w:line="254" w:lineRule="auto"/>
            </w:pPr>
            <w:r>
              <w:t>El. p. adresas</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rPr>
                <w:b/>
              </w:rPr>
            </w:pPr>
          </w:p>
        </w:tc>
      </w:tr>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tabs>
                <w:tab w:val="left" w:pos="1740"/>
              </w:tabs>
              <w:spacing w:line="254" w:lineRule="auto"/>
            </w:pPr>
            <w:r>
              <w:t>Kontaktinio asmens vardas, pavardė, pareigos, tel., el. p. adresas</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rPr>
                <w:b/>
              </w:rPr>
            </w:pPr>
          </w:p>
        </w:tc>
      </w:tr>
      <w:tr w:rsidR="00534B2A">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4B2A" w:rsidRDefault="0081329E">
            <w:pPr>
              <w:tabs>
                <w:tab w:val="left" w:pos="1740"/>
              </w:tabs>
              <w:spacing w:line="254" w:lineRule="auto"/>
            </w:pPr>
            <w:r>
              <w:t>Programos rengėjas (vardas, pavardė, kvalifikacija)</w:t>
            </w:r>
          </w:p>
        </w:tc>
        <w:tc>
          <w:tcPr>
            <w:tcW w:w="5688"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rPr>
                <w:b/>
              </w:rPr>
            </w:pPr>
          </w:p>
        </w:tc>
      </w:tr>
    </w:tbl>
    <w:p w:rsidR="00534B2A" w:rsidRDefault="00534B2A">
      <w:pPr>
        <w:jc w:val="center"/>
        <w:rPr>
          <w:szCs w:val="24"/>
        </w:rPr>
      </w:pPr>
    </w:p>
    <w:p w:rsidR="00534B2A" w:rsidRDefault="0081329E">
      <w:pPr>
        <w:jc w:val="center"/>
        <w:rPr>
          <w:b/>
          <w:szCs w:val="24"/>
        </w:rPr>
      </w:pPr>
      <w:r>
        <w:rPr>
          <w:b/>
          <w:szCs w:val="24"/>
        </w:rPr>
        <w:t>II SKYRIUS</w:t>
      </w:r>
    </w:p>
    <w:p w:rsidR="00534B2A" w:rsidRDefault="0081329E">
      <w:pPr>
        <w:tabs>
          <w:tab w:val="left" w:pos="360"/>
          <w:tab w:val="left" w:pos="540"/>
        </w:tabs>
        <w:jc w:val="center"/>
        <w:rPr>
          <w:b/>
        </w:rPr>
      </w:pPr>
      <w:r>
        <w:rPr>
          <w:b/>
        </w:rPr>
        <w:t>PROGRAMOS APRAŠAS</w:t>
      </w:r>
    </w:p>
    <w:p w:rsidR="00534B2A" w:rsidRDefault="00534B2A">
      <w:pPr>
        <w:tabs>
          <w:tab w:val="left" w:pos="360"/>
          <w:tab w:val="left" w:pos="540"/>
        </w:tabs>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150"/>
        <w:gridCol w:w="88"/>
        <w:gridCol w:w="253"/>
        <w:gridCol w:w="809"/>
        <w:gridCol w:w="2477"/>
        <w:gridCol w:w="2142"/>
      </w:tblGrid>
      <w:tr w:rsidR="00534B2A">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jc w:val="center"/>
              <w:rPr>
                <w:b/>
              </w:rPr>
            </w:pPr>
            <w:r>
              <w:rPr>
                <w:b/>
              </w:rPr>
              <w:t>1. Bendrosios nuostatos</w:t>
            </w:r>
          </w:p>
        </w:tc>
      </w:tr>
      <w:tr w:rsidR="00534B2A">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1.1. Programos pavadinimas</w:t>
            </w:r>
          </w:p>
        </w:tc>
        <w:tc>
          <w:tcPr>
            <w:tcW w:w="5681" w:type="dxa"/>
            <w:gridSpan w:val="4"/>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(Nurodomas trumpas programos pavadinimas)</w:t>
            </w:r>
          </w:p>
        </w:tc>
      </w:tr>
      <w:tr w:rsidR="00534B2A">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 xml:space="preserve">1.2. Programos trukmė ir apimtis </w:t>
            </w:r>
          </w:p>
        </w:tc>
        <w:tc>
          <w:tcPr>
            <w:tcW w:w="5681" w:type="dxa"/>
            <w:gridSpan w:val="4"/>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(Nurodoma planuojama programos trukmė (dienomis) ir apimtis (kontaktinėmis akademinėmis valandomis)</w:t>
            </w:r>
          </w:p>
        </w:tc>
      </w:tr>
      <w:tr w:rsidR="00534B2A">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1.3. Programos tikslinė (-ės) dalyvių grupė (grupės)</w:t>
            </w:r>
          </w:p>
        </w:tc>
        <w:tc>
          <w:tcPr>
            <w:tcW w:w="5681" w:type="dxa"/>
            <w:gridSpan w:val="4"/>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(Apibūdinama tikslinė(-ės) dalyvių grupė(-ės), grupės(-</w:t>
            </w:r>
            <w:proofErr w:type="spellStart"/>
            <w:r>
              <w:rPr>
                <w:i/>
              </w:rPr>
              <w:t>ių</w:t>
            </w:r>
            <w:proofErr w:type="spellEnd"/>
            <w:r>
              <w:rPr>
                <w:i/>
              </w:rPr>
              <w:t>) dalyvių amžius)</w:t>
            </w:r>
          </w:p>
        </w:tc>
      </w:tr>
      <w:tr w:rsidR="00534B2A">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1.4. Programos dalyvių skaičius</w:t>
            </w:r>
          </w:p>
        </w:tc>
        <w:tc>
          <w:tcPr>
            <w:tcW w:w="5681" w:type="dxa"/>
            <w:gridSpan w:val="4"/>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(Nurodomas planuojamas programos dalyvių skaičius)</w:t>
            </w:r>
          </w:p>
        </w:tc>
      </w:tr>
      <w:tr w:rsidR="00534B2A">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1.5. Programos tinkamumas ir aktualumas programos tikslams pasiekti</w:t>
            </w:r>
          </w:p>
        </w:tc>
        <w:tc>
          <w:tcPr>
            <w:tcW w:w="5681" w:type="dxa"/>
            <w:gridSpan w:val="4"/>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(Pagrindžiamas programos aktualumas, reikalingumas ir jos poveikis programos dalyviams)</w:t>
            </w:r>
          </w:p>
        </w:tc>
      </w:tr>
      <w:tr w:rsidR="00534B2A">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jc w:val="center"/>
              <w:rPr>
                <w:b/>
              </w:rPr>
            </w:pPr>
            <w:r>
              <w:rPr>
                <w:b/>
              </w:rPr>
              <w:t>2. Tikslas ir uždaviniai</w:t>
            </w:r>
          </w:p>
        </w:tc>
      </w:tr>
      <w:tr w:rsidR="00534B2A">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2.1. Tikslas</w:t>
            </w:r>
          </w:p>
        </w:tc>
        <w:tc>
          <w:tcPr>
            <w:tcW w:w="5681" w:type="dxa"/>
            <w:gridSpan w:val="4"/>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(Nurodomas programos tikslas)</w:t>
            </w:r>
          </w:p>
        </w:tc>
      </w:tr>
      <w:tr w:rsidR="00534B2A">
        <w:trPr>
          <w:cantSplit/>
          <w:trHeight w:val="20"/>
        </w:trPr>
        <w:tc>
          <w:tcPr>
            <w:tcW w:w="396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2.2. Uždaviniai</w:t>
            </w:r>
          </w:p>
        </w:tc>
        <w:tc>
          <w:tcPr>
            <w:tcW w:w="5681" w:type="dxa"/>
            <w:gridSpan w:val="4"/>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(Nurodomi programos uždaviniai)</w:t>
            </w:r>
          </w:p>
        </w:tc>
      </w:tr>
      <w:tr w:rsidR="00534B2A">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pageBreakBefore/>
              <w:spacing w:line="254" w:lineRule="auto"/>
              <w:jc w:val="center"/>
            </w:pPr>
            <w:r>
              <w:rPr>
                <w:b/>
              </w:rPr>
              <w:lastRenderedPageBreak/>
              <w:t>3. Programos turinys ir metodai</w:t>
            </w:r>
          </w:p>
        </w:tc>
      </w:tr>
      <w:tr w:rsidR="00534B2A">
        <w:tc>
          <w:tcPr>
            <w:tcW w:w="2729"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34B2A" w:rsidRDefault="0081329E">
            <w:pPr>
              <w:spacing w:line="254" w:lineRule="auto"/>
              <w:jc w:val="center"/>
              <w:rPr>
                <w:b/>
              </w:rPr>
            </w:pPr>
            <w:r>
              <w:rPr>
                <w:b/>
              </w:rPr>
              <w:t>Tema</w:t>
            </w:r>
          </w:p>
        </w:tc>
        <w:tc>
          <w:tcPr>
            <w:tcW w:w="2300" w:type="dxa"/>
            <w:gridSpan w:val="4"/>
            <w:tcBorders>
              <w:top w:val="single" w:sz="4" w:space="0" w:color="auto"/>
              <w:left w:val="single" w:sz="4" w:space="0" w:color="auto"/>
              <w:bottom w:val="single" w:sz="4" w:space="0" w:color="auto"/>
              <w:right w:val="single" w:sz="4" w:space="0" w:color="auto"/>
            </w:tcBorders>
            <w:shd w:val="clear" w:color="auto" w:fill="E0E0E0"/>
            <w:hideMark/>
          </w:tcPr>
          <w:p w:rsidR="00534B2A" w:rsidRDefault="0081329E">
            <w:pPr>
              <w:spacing w:line="254" w:lineRule="auto"/>
              <w:jc w:val="center"/>
            </w:pPr>
            <w:r>
              <w:rPr>
                <w:b/>
              </w:rPr>
              <w:t>Trukmė (kontaktinio akademinio darbo val.)</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34B2A" w:rsidRDefault="0081329E">
            <w:pPr>
              <w:spacing w:line="254" w:lineRule="auto"/>
              <w:jc w:val="center"/>
              <w:rPr>
                <w:b/>
              </w:rPr>
            </w:pPr>
            <w:r>
              <w:rPr>
                <w:b/>
              </w:rPr>
              <w:t>Mokymo (mokymosi) metodai</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34B2A" w:rsidRDefault="0081329E">
            <w:pPr>
              <w:spacing w:line="254" w:lineRule="auto"/>
              <w:jc w:val="center"/>
              <w:rPr>
                <w:b/>
              </w:rPr>
            </w:pPr>
            <w:r>
              <w:rPr>
                <w:b/>
              </w:rPr>
              <w:t>Planuojamos įgyti / patobulinti kompetencijos</w:t>
            </w:r>
          </w:p>
        </w:tc>
      </w:tr>
      <w:tr w:rsidR="00534B2A">
        <w:tc>
          <w:tcPr>
            <w:tcW w:w="0" w:type="auto"/>
            <w:vMerge/>
            <w:tcBorders>
              <w:top w:val="single" w:sz="4" w:space="0" w:color="auto"/>
              <w:left w:val="single" w:sz="4" w:space="0" w:color="auto"/>
              <w:bottom w:val="single" w:sz="4" w:space="0" w:color="auto"/>
              <w:right w:val="single" w:sz="4" w:space="0" w:color="auto"/>
            </w:tcBorders>
            <w:vAlign w:val="center"/>
            <w:hideMark/>
          </w:tcPr>
          <w:p w:rsidR="00534B2A" w:rsidRDefault="00534B2A">
            <w:pPr>
              <w:rPr>
                <w:b/>
              </w:rPr>
            </w:pPr>
          </w:p>
        </w:tc>
        <w:tc>
          <w:tcPr>
            <w:tcW w:w="1150" w:type="dxa"/>
            <w:tcBorders>
              <w:top w:val="single" w:sz="4" w:space="0" w:color="auto"/>
              <w:left w:val="single" w:sz="4" w:space="0" w:color="auto"/>
              <w:bottom w:val="single" w:sz="4" w:space="0" w:color="auto"/>
              <w:right w:val="single" w:sz="4" w:space="0" w:color="auto"/>
            </w:tcBorders>
            <w:hideMark/>
          </w:tcPr>
          <w:p w:rsidR="00534B2A" w:rsidRDefault="0081329E">
            <w:pPr>
              <w:jc w:val="center"/>
            </w:pPr>
            <w:r>
              <w:t>Teorinis mokymas</w:t>
            </w:r>
          </w:p>
        </w:tc>
        <w:tc>
          <w:tcPr>
            <w:tcW w:w="1150" w:type="dxa"/>
            <w:gridSpan w:val="3"/>
            <w:tcBorders>
              <w:top w:val="single" w:sz="4" w:space="0" w:color="auto"/>
              <w:left w:val="single" w:sz="4" w:space="0" w:color="auto"/>
              <w:bottom w:val="single" w:sz="4" w:space="0" w:color="auto"/>
              <w:right w:val="single" w:sz="4" w:space="0" w:color="auto"/>
            </w:tcBorders>
            <w:hideMark/>
          </w:tcPr>
          <w:p w:rsidR="00534B2A" w:rsidRDefault="0081329E">
            <w:pPr>
              <w:jc w:val="center"/>
            </w:pPr>
            <w:r>
              <w:t>Praktinis mokymas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B2A" w:rsidRDefault="00534B2A">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B2A" w:rsidRDefault="00534B2A">
            <w:pPr>
              <w:rPr>
                <w:b/>
              </w:rPr>
            </w:pPr>
          </w:p>
        </w:tc>
      </w:tr>
      <w:tr w:rsidR="00534B2A">
        <w:tc>
          <w:tcPr>
            <w:tcW w:w="2729"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c>
          <w:tcPr>
            <w:tcW w:w="1150"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c>
          <w:tcPr>
            <w:tcW w:w="1150" w:type="dxa"/>
            <w:gridSpan w:val="3"/>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c>
          <w:tcPr>
            <w:tcW w:w="2477"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c>
          <w:tcPr>
            <w:tcW w:w="2142"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r>
      <w:tr w:rsidR="00534B2A">
        <w:tc>
          <w:tcPr>
            <w:tcW w:w="2729"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c>
          <w:tcPr>
            <w:tcW w:w="1150"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c>
          <w:tcPr>
            <w:tcW w:w="1150" w:type="dxa"/>
            <w:gridSpan w:val="3"/>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c>
          <w:tcPr>
            <w:tcW w:w="2477" w:type="dxa"/>
            <w:tcBorders>
              <w:top w:val="single" w:sz="4" w:space="0" w:color="auto"/>
              <w:left w:val="single" w:sz="4" w:space="0" w:color="auto"/>
              <w:bottom w:val="single" w:sz="4" w:space="0" w:color="auto"/>
              <w:right w:val="single" w:sz="4" w:space="0" w:color="auto"/>
            </w:tcBorders>
          </w:tcPr>
          <w:p w:rsidR="00534B2A" w:rsidRDefault="00397DAF">
            <w:pPr>
              <w:spacing w:line="254" w:lineRule="auto"/>
              <w:jc w:val="center"/>
            </w:pPr>
            <w:r>
              <w:rPr>
                <w:color w:val="333333"/>
                <w:sz w:val="29"/>
                <w:szCs w:val="29"/>
                <w:shd w:val="clear" w:color="auto" w:fill="FFFFFF"/>
              </w:rPr>
              <w:t>m</w:t>
            </w:r>
            <w:r>
              <w:rPr>
                <w:color w:val="333333"/>
                <w:sz w:val="29"/>
                <w:szCs w:val="29"/>
                <w:shd w:val="clear" w:color="auto" w:fill="FFFFFF"/>
              </w:rPr>
              <w:t>inčių lietus, euristinis pokalbis, euristinės užduotys, individualus skaitymas, diskusija</w:t>
            </w:r>
          </w:p>
        </w:tc>
        <w:tc>
          <w:tcPr>
            <w:tcW w:w="2142"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bookmarkStart w:id="0" w:name="_GoBack"/>
            <w:bookmarkEnd w:id="0"/>
          </w:p>
        </w:tc>
      </w:tr>
      <w:tr w:rsidR="00534B2A">
        <w:trPr>
          <w:cantSplit/>
          <w:trHeight w:val="20"/>
        </w:trPr>
        <w:tc>
          <w:tcPr>
            <w:tcW w:w="9648" w:type="dxa"/>
            <w:gridSpan w:val="7"/>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jc w:val="center"/>
              <w:rPr>
                <w:b/>
              </w:rPr>
            </w:pPr>
            <w:r>
              <w:rPr>
                <w:b/>
              </w:rPr>
              <w:t>4. Mokymosi pasiekimų vertinimas ir įteisinimas</w:t>
            </w:r>
          </w:p>
        </w:tc>
      </w:tr>
      <w:tr w:rsidR="00534B2A">
        <w:trPr>
          <w:cantSplit/>
          <w:trHeight w:val="20"/>
        </w:trPr>
        <w:tc>
          <w:tcPr>
            <w:tcW w:w="4220"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4.1. Programos dalyvių pasiekimų vertinimas</w:t>
            </w:r>
          </w:p>
        </w:tc>
        <w:tc>
          <w:tcPr>
            <w:tcW w:w="5428" w:type="dxa"/>
            <w:gridSpan w:val="3"/>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(Aprašoma, kokiais vertinimo būdais ir kaip dažnai bus vertinami programos dalyviai)</w:t>
            </w:r>
          </w:p>
        </w:tc>
      </w:tr>
      <w:tr w:rsidR="00534B2A">
        <w:trPr>
          <w:cantSplit/>
          <w:trHeight w:val="20"/>
        </w:trPr>
        <w:tc>
          <w:tcPr>
            <w:tcW w:w="4220"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pPr>
            <w:r>
              <w:t>4.2. Dalyvių įgytų kompetencijų patvirtinimas</w:t>
            </w:r>
          </w:p>
        </w:tc>
        <w:tc>
          <w:tcPr>
            <w:tcW w:w="5428" w:type="dxa"/>
            <w:gridSpan w:val="3"/>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(Nurodoma, ar bus išduotas mokymosi pasiekimus patvirtinantis dokumentas ir koks tai dokumentas)</w:t>
            </w:r>
          </w:p>
        </w:tc>
      </w:tr>
      <w:tr w:rsidR="00534B2A">
        <w:trPr>
          <w:cantSplit/>
          <w:trHeight w:val="20"/>
        </w:trPr>
        <w:tc>
          <w:tcPr>
            <w:tcW w:w="4220" w:type="dxa"/>
            <w:gridSpan w:val="4"/>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rPr>
                <w:b/>
              </w:rPr>
            </w:pPr>
            <w:r>
              <w:rPr>
                <w:b/>
              </w:rPr>
              <w:t>5. Laukiami rezultatai ir galimas programos tęstinumas</w:t>
            </w:r>
          </w:p>
        </w:tc>
        <w:tc>
          <w:tcPr>
            <w:tcW w:w="5428" w:type="dxa"/>
            <w:gridSpan w:val="3"/>
            <w:tcBorders>
              <w:top w:val="single" w:sz="4" w:space="0" w:color="auto"/>
              <w:left w:val="single" w:sz="4" w:space="0" w:color="auto"/>
              <w:bottom w:val="single" w:sz="4" w:space="0" w:color="auto"/>
              <w:right w:val="single" w:sz="4" w:space="0" w:color="auto"/>
            </w:tcBorders>
            <w:hideMark/>
          </w:tcPr>
          <w:p w:rsidR="00534B2A" w:rsidRDefault="0081329E">
            <w:pPr>
              <w:spacing w:line="254" w:lineRule="auto"/>
              <w:jc w:val="both"/>
              <w:rPr>
                <w:i/>
              </w:rPr>
            </w:pPr>
            <w:r>
              <w:rPr>
                <w:i/>
              </w:rPr>
              <w:t>(Apibūdinama projektu siekiama nauda ir jo tęstinumo galimybės)</w:t>
            </w:r>
          </w:p>
        </w:tc>
      </w:tr>
    </w:tbl>
    <w:p w:rsidR="00534B2A" w:rsidRDefault="00534B2A">
      <w:pPr>
        <w:tabs>
          <w:tab w:val="left" w:pos="360"/>
          <w:tab w:val="left" w:pos="540"/>
        </w:tabs>
        <w:jc w:val="center"/>
        <w:rPr>
          <w:b/>
          <w:lang w:eastAsia="lt-LT"/>
        </w:rPr>
      </w:pPr>
    </w:p>
    <w:p w:rsidR="00534B2A" w:rsidRDefault="0081329E">
      <w:pPr>
        <w:tabs>
          <w:tab w:val="left" w:pos="360"/>
          <w:tab w:val="left" w:pos="540"/>
        </w:tabs>
        <w:jc w:val="center"/>
        <w:rPr>
          <w:b/>
          <w:lang w:eastAsia="lt-LT"/>
        </w:rPr>
      </w:pPr>
      <w:r>
        <w:rPr>
          <w:b/>
          <w:lang w:eastAsia="lt-LT"/>
        </w:rPr>
        <w:t>III SKYRIUS</w:t>
      </w:r>
    </w:p>
    <w:p w:rsidR="00534B2A" w:rsidRDefault="0081329E">
      <w:pPr>
        <w:tabs>
          <w:tab w:val="left" w:pos="360"/>
          <w:tab w:val="left" w:pos="540"/>
        </w:tabs>
        <w:jc w:val="center"/>
        <w:rPr>
          <w:b/>
        </w:rPr>
      </w:pPr>
      <w:r>
        <w:rPr>
          <w:b/>
        </w:rPr>
        <w:t>PROGRAMOS FINANSAVIMAS</w:t>
      </w:r>
    </w:p>
    <w:p w:rsidR="00534B2A" w:rsidRDefault="00534B2A">
      <w:pPr>
        <w:tabs>
          <w:tab w:val="left" w:pos="360"/>
          <w:tab w:val="left" w:pos="540"/>
        </w:tabs>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534B2A">
        <w:tc>
          <w:tcPr>
            <w:tcW w:w="7668" w:type="dxa"/>
            <w:tcBorders>
              <w:top w:val="single" w:sz="4" w:space="0" w:color="auto"/>
              <w:left w:val="single" w:sz="4" w:space="0" w:color="auto"/>
              <w:bottom w:val="single" w:sz="4" w:space="0" w:color="auto"/>
              <w:right w:val="single" w:sz="4" w:space="0" w:color="auto"/>
            </w:tcBorders>
            <w:shd w:val="clear" w:color="auto" w:fill="E6E6E6"/>
          </w:tcPr>
          <w:p w:rsidR="00534B2A" w:rsidRDefault="00534B2A">
            <w:pPr>
              <w:spacing w:line="254" w:lineRule="auto"/>
              <w:rPr>
                <w:b/>
              </w:rPr>
            </w:pP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4B2A" w:rsidRDefault="0081329E">
            <w:pPr>
              <w:spacing w:line="254" w:lineRule="auto"/>
              <w:jc w:val="center"/>
              <w:rPr>
                <w:b/>
              </w:rPr>
            </w:pPr>
            <w:r>
              <w:rPr>
                <w:b/>
              </w:rPr>
              <w:t>Suma (</w:t>
            </w:r>
            <w:proofErr w:type="spellStart"/>
            <w:r>
              <w:rPr>
                <w:b/>
              </w:rPr>
              <w:t>Eur</w:t>
            </w:r>
            <w:proofErr w:type="spellEnd"/>
            <w:r>
              <w:rPr>
                <w:b/>
              </w:rPr>
              <w:t>)</w:t>
            </w: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jc w:val="center"/>
            </w:pPr>
            <w:r>
              <w:rPr>
                <w:b/>
              </w:rPr>
              <w:t>1. Prašomų skirti lėšų suma:</w:t>
            </w:r>
          </w:p>
        </w:tc>
        <w:tc>
          <w:tcPr>
            <w:tcW w:w="1980"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4B2A" w:rsidRDefault="0081329E">
            <w:pPr>
              <w:spacing w:line="254" w:lineRule="auto"/>
            </w:pPr>
            <w:r>
              <w:rPr>
                <w:b/>
              </w:rPr>
              <w:t>Lėšų paskirtis:</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4B2A" w:rsidRDefault="0081329E">
            <w:pPr>
              <w:spacing w:line="254" w:lineRule="auto"/>
              <w:jc w:val="center"/>
            </w:pPr>
            <w:r>
              <w:rPr>
                <w:b/>
              </w:rPr>
              <w:t>Suma (</w:t>
            </w:r>
            <w:proofErr w:type="spellStart"/>
            <w:r>
              <w:rPr>
                <w:b/>
              </w:rPr>
              <w:t>Eur</w:t>
            </w:r>
            <w:proofErr w:type="spellEnd"/>
            <w:r>
              <w:rPr>
                <w:b/>
              </w:rPr>
              <w:t>)</w:t>
            </w: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534B2A" w:rsidRDefault="0081329E">
            <w:pPr>
              <w:spacing w:line="254" w:lineRule="auto"/>
              <w:jc w:val="both"/>
            </w:pPr>
            <w:r>
              <w:t>Programą administruojančio personalo darbo užmokestis ir su darbo santykiais susiję darbdavio įsipareigojimai, apskaičiuoti Lietuvos Respublikos teisės aktų nustatyta tvarka</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both"/>
            </w:pP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534B2A" w:rsidRDefault="0081329E">
            <w:pPr>
              <w:spacing w:line="254" w:lineRule="auto"/>
              <w:jc w:val="both"/>
            </w:pPr>
            <w:r>
              <w:t>Programą vykdančio personalo darbo užmokestis ir su darbo santykiais susiję darbdavio įsipareigojimai, apskaičiuoti Lietuvos Respublikos teisės aktų nustatyta tvarka</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both"/>
            </w:pP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534B2A" w:rsidRDefault="0081329E">
            <w:pPr>
              <w:spacing w:line="254" w:lineRule="auto"/>
            </w:pPr>
            <w:r>
              <w:t>Programai vykdyti būtinų kanceliarinių prekių įsigijimas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FFFFFF"/>
            <w:hideMark/>
          </w:tcPr>
          <w:p w:rsidR="00534B2A" w:rsidRDefault="0081329E">
            <w:pPr>
              <w:spacing w:line="254" w:lineRule="auto"/>
              <w:jc w:val="both"/>
            </w:pPr>
            <w:r>
              <w:rPr>
                <w:iCs/>
              </w:rPr>
              <w:t xml:space="preserve">Kitos </w:t>
            </w:r>
            <w:r>
              <w:t>programos vykdymo ir organizavimo išlaidos, kurios atitinka Lietuvos Respublikos švietimo įstatyme nustatytas mokymo lėšas – tiesiogiai švietimo procesui organizuoti būtinas lėšas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r>
    </w:tbl>
    <w:p w:rsidR="00534B2A" w:rsidRDefault="00534B2A">
      <w:pPr>
        <w:jc w:val="center"/>
        <w:rPr>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534B2A">
        <w:tc>
          <w:tcPr>
            <w:tcW w:w="7668" w:type="dxa"/>
            <w:tcBorders>
              <w:top w:val="single" w:sz="4" w:space="0" w:color="auto"/>
              <w:left w:val="single" w:sz="4" w:space="0" w:color="auto"/>
              <w:bottom w:val="single" w:sz="4" w:space="0" w:color="auto"/>
              <w:right w:val="single" w:sz="4" w:space="0" w:color="auto"/>
            </w:tcBorders>
            <w:shd w:val="clear" w:color="auto" w:fill="E6E6E6"/>
          </w:tcPr>
          <w:p w:rsidR="00534B2A" w:rsidRDefault="00534B2A">
            <w:pPr>
              <w:spacing w:line="254" w:lineRule="auto"/>
              <w:jc w:val="center"/>
              <w:rPr>
                <w:b/>
              </w:rPr>
            </w:pP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4B2A" w:rsidRDefault="0081329E">
            <w:pPr>
              <w:spacing w:line="254" w:lineRule="auto"/>
              <w:jc w:val="center"/>
              <w:rPr>
                <w:b/>
              </w:rPr>
            </w:pPr>
            <w:r>
              <w:rPr>
                <w:b/>
              </w:rPr>
              <w:t>Suma (</w:t>
            </w:r>
            <w:proofErr w:type="spellStart"/>
            <w:r>
              <w:rPr>
                <w:b/>
              </w:rPr>
              <w:t>Eur</w:t>
            </w:r>
            <w:proofErr w:type="spellEnd"/>
            <w:r>
              <w:rPr>
                <w:b/>
              </w:rPr>
              <w:t>)</w:t>
            </w: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E6E6E6"/>
            <w:hideMark/>
          </w:tcPr>
          <w:p w:rsidR="00534B2A" w:rsidRDefault="0081329E">
            <w:pPr>
              <w:spacing w:line="254" w:lineRule="auto"/>
              <w:jc w:val="center"/>
            </w:pPr>
            <w:r>
              <w:rPr>
                <w:b/>
              </w:rPr>
              <w:t>2. Kitų finansavimo šaltinių lėšos:</w:t>
            </w:r>
          </w:p>
        </w:tc>
        <w:tc>
          <w:tcPr>
            <w:tcW w:w="1980" w:type="dxa"/>
            <w:tcBorders>
              <w:top w:val="single" w:sz="4" w:space="0" w:color="auto"/>
              <w:left w:val="single" w:sz="4" w:space="0" w:color="auto"/>
              <w:bottom w:val="single" w:sz="4" w:space="0" w:color="auto"/>
              <w:right w:val="single" w:sz="4" w:space="0" w:color="auto"/>
            </w:tcBorders>
          </w:tcPr>
          <w:p w:rsidR="00534B2A" w:rsidRDefault="00534B2A">
            <w:pPr>
              <w:spacing w:line="254" w:lineRule="auto"/>
              <w:jc w:val="center"/>
            </w:pP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4B2A" w:rsidRDefault="0081329E">
            <w:pPr>
              <w:spacing w:line="254" w:lineRule="auto"/>
            </w:pPr>
            <w:r>
              <w:rPr>
                <w:b/>
              </w:rPr>
              <w:t>Lėšų paskirtis:</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34B2A" w:rsidRDefault="0081329E">
            <w:pPr>
              <w:spacing w:line="254" w:lineRule="auto"/>
              <w:jc w:val="center"/>
            </w:pPr>
            <w:r>
              <w:rPr>
                <w:b/>
              </w:rPr>
              <w:t>Suma (</w:t>
            </w:r>
            <w:proofErr w:type="spellStart"/>
            <w:r>
              <w:rPr>
                <w:b/>
              </w:rPr>
              <w:t>Eur</w:t>
            </w:r>
            <w:proofErr w:type="spellEnd"/>
            <w:r>
              <w:rPr>
                <w:b/>
              </w:rPr>
              <w:t>)</w:t>
            </w: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r>
      <w:tr w:rsidR="00534B2A">
        <w:tc>
          <w:tcPr>
            <w:tcW w:w="7668"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534B2A" w:rsidRDefault="00534B2A">
            <w:pPr>
              <w:spacing w:line="254" w:lineRule="auto"/>
              <w:jc w:val="center"/>
            </w:pPr>
          </w:p>
        </w:tc>
      </w:tr>
    </w:tbl>
    <w:p w:rsidR="00534B2A" w:rsidRDefault="00534B2A">
      <w:pPr>
        <w:tabs>
          <w:tab w:val="left" w:pos="1309"/>
        </w:tabs>
        <w:ind w:left="1305"/>
        <w:jc w:val="both"/>
      </w:pPr>
    </w:p>
    <w:p w:rsidR="00534B2A" w:rsidRDefault="00534B2A">
      <w:pPr>
        <w:tabs>
          <w:tab w:val="left" w:pos="3960"/>
        </w:tabs>
        <w:ind w:firstLine="5103"/>
        <w:jc w:val="both"/>
        <w:sectPr w:rsidR="00534B2A">
          <w:pgSz w:w="11906" w:h="16838" w:code="9"/>
          <w:pgMar w:top="851" w:right="567" w:bottom="851" w:left="1701" w:header="567" w:footer="567" w:gutter="0"/>
          <w:cols w:space="1296"/>
          <w:docGrid w:linePitch="360"/>
        </w:sectPr>
      </w:pPr>
    </w:p>
    <w:p w:rsidR="00534B2A" w:rsidRDefault="0081329E">
      <w:pPr>
        <w:tabs>
          <w:tab w:val="left" w:pos="3960"/>
        </w:tabs>
        <w:ind w:firstLine="5103"/>
        <w:jc w:val="both"/>
        <w:rPr>
          <w:sz w:val="22"/>
          <w:szCs w:val="22"/>
        </w:rPr>
      </w:pPr>
      <w:r>
        <w:rPr>
          <w:sz w:val="22"/>
          <w:szCs w:val="22"/>
        </w:rPr>
        <w:lastRenderedPageBreak/>
        <w:t>Visagino savivaldybės neformaliojo suaugusiųjų</w:t>
      </w:r>
    </w:p>
    <w:p w:rsidR="00534B2A" w:rsidRDefault="0081329E">
      <w:pPr>
        <w:tabs>
          <w:tab w:val="left" w:pos="3960"/>
        </w:tabs>
        <w:ind w:firstLine="5103"/>
        <w:jc w:val="both"/>
        <w:rPr>
          <w:sz w:val="22"/>
          <w:szCs w:val="22"/>
        </w:rPr>
      </w:pPr>
      <w:r>
        <w:rPr>
          <w:sz w:val="22"/>
          <w:szCs w:val="22"/>
        </w:rPr>
        <w:t>švietimo ir tęstinio mokymosi programų,</w:t>
      </w:r>
    </w:p>
    <w:p w:rsidR="00534B2A" w:rsidRDefault="0081329E">
      <w:pPr>
        <w:tabs>
          <w:tab w:val="left" w:pos="3960"/>
        </w:tabs>
        <w:ind w:firstLine="5103"/>
        <w:jc w:val="both"/>
        <w:rPr>
          <w:sz w:val="22"/>
          <w:szCs w:val="22"/>
        </w:rPr>
      </w:pPr>
      <w:r>
        <w:rPr>
          <w:sz w:val="22"/>
          <w:szCs w:val="22"/>
        </w:rPr>
        <w:t>finansuojamų savivaldybės biudžeto lėšomis,</w:t>
      </w:r>
    </w:p>
    <w:p w:rsidR="00534B2A" w:rsidRDefault="0081329E">
      <w:pPr>
        <w:tabs>
          <w:tab w:val="left" w:pos="3960"/>
        </w:tabs>
        <w:ind w:firstLine="5103"/>
        <w:jc w:val="both"/>
        <w:rPr>
          <w:sz w:val="22"/>
          <w:szCs w:val="22"/>
        </w:rPr>
      </w:pPr>
      <w:r>
        <w:rPr>
          <w:sz w:val="22"/>
          <w:szCs w:val="22"/>
        </w:rPr>
        <w:t xml:space="preserve">finansavimo ir atrankos tvarkos aprašo </w:t>
      </w:r>
    </w:p>
    <w:p w:rsidR="00534B2A" w:rsidRDefault="0081329E">
      <w:pPr>
        <w:tabs>
          <w:tab w:val="left" w:pos="3960"/>
        </w:tabs>
        <w:ind w:firstLine="5103"/>
        <w:jc w:val="both"/>
        <w:rPr>
          <w:sz w:val="22"/>
          <w:szCs w:val="22"/>
        </w:rPr>
      </w:pPr>
      <w:r>
        <w:rPr>
          <w:sz w:val="22"/>
          <w:szCs w:val="22"/>
        </w:rPr>
        <w:t>2 priedas</w:t>
      </w:r>
    </w:p>
    <w:p w:rsidR="00534B2A" w:rsidRDefault="00534B2A">
      <w:pPr>
        <w:tabs>
          <w:tab w:val="left" w:pos="3960"/>
        </w:tabs>
        <w:ind w:left="4500"/>
        <w:jc w:val="center"/>
        <w:rPr>
          <w:sz w:val="22"/>
          <w:szCs w:val="22"/>
          <w:lang w:eastAsia="lt-LT"/>
        </w:rPr>
      </w:pPr>
    </w:p>
    <w:p w:rsidR="00534B2A" w:rsidRDefault="00534B2A">
      <w:pPr>
        <w:jc w:val="center"/>
        <w:rPr>
          <w:b/>
          <w:sz w:val="22"/>
          <w:szCs w:val="22"/>
          <w:lang w:eastAsia="lt-LT"/>
        </w:rPr>
      </w:pPr>
    </w:p>
    <w:p w:rsidR="00534B2A" w:rsidRDefault="0081329E">
      <w:pPr>
        <w:jc w:val="center"/>
        <w:rPr>
          <w:b/>
          <w:sz w:val="22"/>
          <w:szCs w:val="22"/>
          <w:lang w:eastAsia="lt-LT"/>
        </w:rPr>
      </w:pPr>
      <w:r>
        <w:rPr>
          <w:b/>
          <w:sz w:val="22"/>
          <w:szCs w:val="22"/>
          <w:lang w:eastAsia="lt-LT"/>
        </w:rPr>
        <w:t>(Paraiškos vertinimo anketos forma)</w:t>
      </w:r>
    </w:p>
    <w:p w:rsidR="00534B2A" w:rsidRDefault="00534B2A">
      <w:pPr>
        <w:jc w:val="center"/>
        <w:rPr>
          <w:b/>
          <w:sz w:val="22"/>
          <w:szCs w:val="22"/>
          <w:lang w:eastAsia="lt-LT"/>
        </w:rPr>
      </w:pPr>
    </w:p>
    <w:p w:rsidR="00534B2A" w:rsidRDefault="0081329E">
      <w:pPr>
        <w:jc w:val="center"/>
        <w:rPr>
          <w:b/>
          <w:sz w:val="22"/>
          <w:szCs w:val="22"/>
          <w:lang w:eastAsia="lt-LT"/>
        </w:rPr>
      </w:pPr>
      <w:r>
        <w:rPr>
          <w:b/>
          <w:sz w:val="22"/>
          <w:szCs w:val="22"/>
          <w:lang w:eastAsia="lt-LT"/>
        </w:rPr>
        <w:t>PARAIŠKOS VERTINIMO ANKETA</w:t>
      </w:r>
    </w:p>
    <w:p w:rsidR="00534B2A" w:rsidRDefault="00534B2A">
      <w:pPr>
        <w:jc w:val="center"/>
        <w:rPr>
          <w:b/>
          <w:sz w:val="22"/>
          <w:szCs w:val="22"/>
          <w:lang w:eastAsia="lt-LT"/>
        </w:rPr>
      </w:pPr>
    </w:p>
    <w:p w:rsidR="00534B2A" w:rsidRDefault="0081329E">
      <w:pPr>
        <w:jc w:val="center"/>
        <w:rPr>
          <w:sz w:val="22"/>
          <w:szCs w:val="22"/>
          <w:lang w:eastAsia="lt-LT"/>
        </w:rPr>
      </w:pPr>
      <w:r>
        <w:rPr>
          <w:sz w:val="22"/>
          <w:szCs w:val="22"/>
          <w:lang w:eastAsia="lt-LT"/>
        </w:rPr>
        <w:t>20__ m. ________________ d.</w:t>
      </w:r>
    </w:p>
    <w:p w:rsidR="00534B2A" w:rsidRDefault="00534B2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98"/>
      </w:tblGrid>
      <w:tr w:rsidR="00534B2A">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jc w:val="both"/>
              <w:rPr>
                <w:sz w:val="22"/>
                <w:szCs w:val="22"/>
              </w:rPr>
            </w:pPr>
            <w:r>
              <w:rPr>
                <w:sz w:val="22"/>
                <w:szCs w:val="22"/>
              </w:rPr>
              <w:t>Paraiškos registracijos data ir numeris</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jc w:val="center"/>
              <w:rPr>
                <w:sz w:val="22"/>
                <w:szCs w:val="22"/>
              </w:rPr>
            </w:pPr>
          </w:p>
        </w:tc>
      </w:tr>
      <w:tr w:rsidR="00534B2A">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jc w:val="both"/>
              <w:rPr>
                <w:sz w:val="22"/>
                <w:szCs w:val="22"/>
              </w:rPr>
            </w:pPr>
            <w:r>
              <w:rPr>
                <w:sz w:val="22"/>
                <w:szCs w:val="22"/>
              </w:rPr>
              <w:t>Paraišką pateikusi įstaiga</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jc w:val="center"/>
              <w:rPr>
                <w:sz w:val="22"/>
                <w:szCs w:val="22"/>
              </w:rPr>
            </w:pPr>
          </w:p>
        </w:tc>
      </w:tr>
      <w:tr w:rsidR="00534B2A">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jc w:val="both"/>
              <w:rPr>
                <w:sz w:val="22"/>
                <w:szCs w:val="22"/>
              </w:rPr>
            </w:pPr>
            <w:r>
              <w:rPr>
                <w:sz w:val="22"/>
                <w:szCs w:val="22"/>
              </w:rPr>
              <w:t>Neformaliojo suaugusiųjų švietimo programos pavadinimas</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jc w:val="center"/>
              <w:rPr>
                <w:sz w:val="22"/>
                <w:szCs w:val="22"/>
              </w:rPr>
            </w:pPr>
          </w:p>
        </w:tc>
      </w:tr>
    </w:tbl>
    <w:p w:rsidR="00534B2A" w:rsidRDefault="00534B2A">
      <w:pPr>
        <w:jc w:val="center"/>
        <w:rPr>
          <w:sz w:val="22"/>
          <w:szCs w:val="22"/>
        </w:rPr>
      </w:pPr>
    </w:p>
    <w:p w:rsidR="00534B2A" w:rsidRDefault="0081329E">
      <w:pPr>
        <w:jc w:val="center"/>
        <w:rPr>
          <w:b/>
          <w:sz w:val="22"/>
          <w:szCs w:val="22"/>
        </w:rPr>
      </w:pPr>
      <w:r>
        <w:rPr>
          <w:b/>
          <w:sz w:val="22"/>
          <w:szCs w:val="22"/>
        </w:rPr>
        <w:t>I. Vertinimas pagal kriterijus</w:t>
      </w:r>
    </w:p>
    <w:p w:rsidR="00534B2A" w:rsidRDefault="00534B2A">
      <w:pPr>
        <w:jc w:val="center"/>
        <w:rPr>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418"/>
        <w:gridCol w:w="1616"/>
      </w:tblGrid>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center"/>
              <w:rPr>
                <w:sz w:val="22"/>
                <w:szCs w:val="22"/>
              </w:rPr>
            </w:pPr>
            <w:r>
              <w:rPr>
                <w:sz w:val="22"/>
                <w:szCs w:val="22"/>
              </w:rPr>
              <w:t>Vertinimo kriterijus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center"/>
              <w:rPr>
                <w:sz w:val="22"/>
                <w:szCs w:val="22"/>
              </w:rPr>
            </w:pPr>
            <w:r>
              <w:rPr>
                <w:sz w:val="22"/>
                <w:szCs w:val="22"/>
              </w:rPr>
              <w:t>Galimas įvertis (balais)</w:t>
            </w:r>
          </w:p>
        </w:tc>
        <w:tc>
          <w:tcPr>
            <w:tcW w:w="1615"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center"/>
              <w:rPr>
                <w:sz w:val="22"/>
                <w:szCs w:val="22"/>
              </w:rPr>
            </w:pPr>
            <w:r>
              <w:rPr>
                <w:sz w:val="22"/>
                <w:szCs w:val="22"/>
              </w:rPr>
              <w:t>Įvertis (balais)</w:t>
            </w: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tcPr>
          <w:p w:rsidR="00534B2A" w:rsidRDefault="0081329E">
            <w:pPr>
              <w:jc w:val="both"/>
              <w:rPr>
                <w:sz w:val="22"/>
                <w:szCs w:val="22"/>
                <w:lang w:eastAsia="lt-LT"/>
              </w:rPr>
            </w:pPr>
            <w:r>
              <w:rPr>
                <w:sz w:val="22"/>
                <w:szCs w:val="22"/>
                <w:lang w:eastAsia="lt-LT"/>
              </w:rPr>
              <w:t>1. Programos tinkamumas ir aktualumas programos tikslams pasiekti</w:t>
            </w:r>
          </w:p>
          <w:p w:rsidR="00534B2A" w:rsidRDefault="00534B2A">
            <w:pPr>
              <w:jc w:val="both"/>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2. Programos rezultatyvumas, tikslų ir uždavinių formuluočių aiškumas, konkretumas, dermė su programos turiniu</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3. Programos efektyvumas, turinio išsamumas, temų pateikimo nuoseklumas, mokymo (mokymosi) metodų, būdų ir laiko tinkamumas ir dermė su kitomis programos sudedamosiomis dalimis</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4. Programos poveikio tikimybė ir planuojamų įgyti ar patobulinti kompetencijų loginis ryšys su programos tikslu, uždaviniais ir turiniu</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5. Programos naudingumas ir tęstinumo užtikrinimas</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b/>
                <w:sz w:val="22"/>
                <w:szCs w:val="22"/>
                <w:lang w:eastAsia="lt-LT"/>
              </w:rPr>
            </w:pPr>
            <w:r>
              <w:rPr>
                <w:sz w:val="22"/>
                <w:szCs w:val="22"/>
                <w:lang w:eastAsia="lt-LT"/>
              </w:rPr>
              <w:t xml:space="preserve">6. Programos dalyvių pasiekimų vertinimo metodų bei mokymo (mokymosi) metodų tinkamumas programos dalyvio įgytai ar patobulintai kompetencijai įrodyti </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 xml:space="preserve">7. Programos turinio ir planuojamos įgyti ar patobulinti kompetencijos atitiktis numatomiems programos dalyviams </w:t>
            </w:r>
            <w:r>
              <w:rPr>
                <w:b/>
                <w:sz w:val="22"/>
                <w:szCs w:val="22"/>
                <w:lang w:eastAsia="lt-LT"/>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 xml:space="preserve">8. Biudžeto atitiktis tinkamoms finansuoti išlaidų kategorijoms </w:t>
            </w:r>
            <w:r>
              <w:rPr>
                <w:b/>
                <w:sz w:val="22"/>
                <w:szCs w:val="22"/>
                <w:lang w:eastAsia="lt-LT"/>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 xml:space="preserve">9. Biudžeto dermė su programos tikslais, uždaviniais ir turiniu </w:t>
            </w:r>
            <w:r>
              <w:rPr>
                <w:b/>
                <w:sz w:val="22"/>
                <w:szCs w:val="22"/>
                <w:lang w:eastAsia="lt-LT"/>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b/>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both"/>
              <w:rPr>
                <w:sz w:val="22"/>
                <w:szCs w:val="22"/>
                <w:lang w:eastAsia="lt-LT"/>
              </w:rPr>
            </w:pPr>
            <w:r>
              <w:rPr>
                <w:sz w:val="22"/>
                <w:szCs w:val="22"/>
                <w:lang w:eastAsia="lt-LT"/>
              </w:rPr>
              <w:t>10. Kiti programos finansavimo šaltiniai</w:t>
            </w:r>
          </w:p>
        </w:tc>
        <w:tc>
          <w:tcPr>
            <w:tcW w:w="1417" w:type="dxa"/>
            <w:tcBorders>
              <w:top w:val="single" w:sz="4" w:space="0" w:color="auto"/>
              <w:left w:val="single" w:sz="4" w:space="0" w:color="auto"/>
              <w:bottom w:val="single" w:sz="4" w:space="0" w:color="auto"/>
              <w:right w:val="single" w:sz="4" w:space="0" w:color="auto"/>
            </w:tcBorders>
            <w:hideMark/>
          </w:tcPr>
          <w:p w:rsidR="00534B2A" w:rsidRDefault="0081329E">
            <w:pPr>
              <w:jc w:val="center"/>
              <w:rPr>
                <w:sz w:val="22"/>
                <w:szCs w:val="22"/>
                <w:lang w:eastAsia="lt-LT"/>
              </w:rPr>
            </w:pPr>
            <w:r>
              <w:rPr>
                <w:sz w:val="22"/>
                <w:szCs w:val="22"/>
                <w:lang w:eastAsia="lt-LT"/>
              </w:rPr>
              <w:t>(1–5)</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b/>
                <w:sz w:val="22"/>
                <w:szCs w:val="22"/>
                <w:lang w:eastAsia="lt-LT"/>
              </w:rPr>
            </w:pPr>
          </w:p>
        </w:tc>
      </w:tr>
      <w:tr w:rsidR="00534B2A">
        <w:trPr>
          <w:tblHeade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right"/>
              <w:rPr>
                <w:b/>
                <w:sz w:val="22"/>
                <w:szCs w:val="22"/>
                <w:lang w:eastAsia="lt-LT"/>
              </w:rPr>
            </w:pPr>
            <w:r>
              <w:rPr>
                <w:b/>
                <w:sz w:val="22"/>
                <w:szCs w:val="22"/>
                <w:lang w:eastAsia="lt-LT"/>
              </w:rPr>
              <w:t>Įverčių suma pagal visus kriterijus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B2A" w:rsidRDefault="0081329E">
            <w:pPr>
              <w:jc w:val="center"/>
              <w:rPr>
                <w:b/>
                <w:sz w:val="22"/>
                <w:szCs w:val="22"/>
                <w:lang w:eastAsia="lt-LT"/>
              </w:rPr>
            </w:pPr>
            <w:r>
              <w:rPr>
                <w:b/>
                <w:sz w:val="22"/>
                <w:szCs w:val="22"/>
                <w:lang w:eastAsia="lt-LT"/>
              </w:rPr>
              <w:t>(10–50)</w:t>
            </w:r>
          </w:p>
        </w:tc>
        <w:tc>
          <w:tcPr>
            <w:tcW w:w="1615" w:type="dxa"/>
            <w:tcBorders>
              <w:top w:val="single" w:sz="4" w:space="0" w:color="auto"/>
              <w:left w:val="single" w:sz="4" w:space="0" w:color="auto"/>
              <w:bottom w:val="single" w:sz="4" w:space="0" w:color="auto"/>
              <w:right w:val="single" w:sz="4" w:space="0" w:color="auto"/>
            </w:tcBorders>
            <w:vAlign w:val="center"/>
          </w:tcPr>
          <w:p w:rsidR="00534B2A" w:rsidRDefault="00534B2A">
            <w:pPr>
              <w:jc w:val="center"/>
              <w:rPr>
                <w:b/>
                <w:sz w:val="22"/>
                <w:szCs w:val="22"/>
                <w:lang w:eastAsia="lt-LT"/>
              </w:rPr>
            </w:pPr>
          </w:p>
        </w:tc>
      </w:tr>
    </w:tbl>
    <w:p w:rsidR="00534B2A" w:rsidRDefault="00534B2A">
      <w:pPr>
        <w:jc w:val="center"/>
        <w:rPr>
          <w:rFonts w:ascii="TimesLT" w:hAnsi="TimesLT"/>
          <w:b/>
          <w:sz w:val="22"/>
          <w:szCs w:val="22"/>
          <w:lang w:eastAsia="lt-LT"/>
        </w:rPr>
      </w:pPr>
    </w:p>
    <w:p w:rsidR="00534B2A" w:rsidRDefault="0081329E">
      <w:pPr>
        <w:jc w:val="both"/>
        <w:rPr>
          <w:b/>
          <w:sz w:val="22"/>
          <w:szCs w:val="22"/>
          <w:lang w:eastAsia="lt-LT"/>
        </w:rPr>
      </w:pPr>
      <w:r>
        <w:rPr>
          <w:b/>
          <w:sz w:val="22"/>
          <w:szCs w:val="22"/>
          <w:lang w:eastAsia="lt-LT"/>
        </w:rPr>
        <w:t>––––––––––––––––––––––––––––––––––––––––––––––––––––––––</w:t>
      </w:r>
    </w:p>
    <w:p w:rsidR="00534B2A" w:rsidRDefault="0081329E">
      <w:pPr>
        <w:jc w:val="both"/>
        <w:rPr>
          <w:sz w:val="22"/>
          <w:szCs w:val="22"/>
          <w:lang w:eastAsia="lt-LT"/>
        </w:rPr>
      </w:pPr>
      <w:r>
        <w:rPr>
          <w:sz w:val="22"/>
          <w:szCs w:val="22"/>
          <w:lang w:eastAsia="lt-LT"/>
        </w:rPr>
        <w:t>Skliaustuose nurodyti galimi įverčiai. Įverčių paaiškinimas: 5 – puikiai, 4 – labai gerai, 3 – gerai, 2 – patenkinamai, 1 – nepatenkinamai.</w:t>
      </w:r>
    </w:p>
    <w:p w:rsidR="00534B2A" w:rsidRDefault="00534B2A">
      <w:pPr>
        <w:jc w:val="both"/>
        <w:rPr>
          <w:b/>
          <w:sz w:val="22"/>
          <w:szCs w:val="22"/>
          <w:lang w:eastAsia="lt-LT"/>
        </w:rPr>
      </w:pPr>
    </w:p>
    <w:p w:rsidR="00534B2A" w:rsidRDefault="0081329E">
      <w:pPr>
        <w:jc w:val="both"/>
        <w:rPr>
          <w:b/>
          <w:sz w:val="22"/>
          <w:szCs w:val="22"/>
          <w:lang w:eastAsia="lt-LT"/>
        </w:rPr>
      </w:pPr>
      <w:r>
        <w:rPr>
          <w:b/>
          <w:sz w:val="22"/>
          <w:szCs w:val="22"/>
          <w:lang w:eastAsia="lt-LT"/>
        </w:rPr>
        <w:t>II. Galutinė eksperto išvada:</w:t>
      </w:r>
    </w:p>
    <w:p w:rsidR="00534B2A" w:rsidRDefault="0081329E">
      <w:pPr>
        <w:suppressAutoHyphens/>
        <w:ind w:left="567"/>
        <w:jc w:val="center"/>
        <w:textAlignment w:val="center"/>
        <w:rPr>
          <w:sz w:val="22"/>
          <w:szCs w:val="22"/>
        </w:rPr>
      </w:pPr>
      <w:r>
        <w:rPr>
          <w:sz w:val="22"/>
          <w:szCs w:val="22"/>
        </w:rPr>
        <w:sym w:font="Wingdings" w:char="F0A8"/>
      </w:r>
      <w:r>
        <w:rPr>
          <w:sz w:val="22"/>
          <w:szCs w:val="22"/>
        </w:rPr>
        <w:t xml:space="preserve"> SIŪLOMA PROGRAMĄ FINANSUOTI</w:t>
      </w:r>
    </w:p>
    <w:p w:rsidR="00534B2A" w:rsidRDefault="0081329E">
      <w:pPr>
        <w:suppressAutoHyphens/>
        <w:ind w:left="567"/>
        <w:jc w:val="center"/>
        <w:textAlignment w:val="center"/>
        <w:rPr>
          <w:sz w:val="22"/>
          <w:szCs w:val="22"/>
        </w:rPr>
      </w:pPr>
      <w:r>
        <w:rPr>
          <w:sz w:val="22"/>
          <w:szCs w:val="22"/>
        </w:rPr>
        <w:sym w:font="Wingdings" w:char="F0A8"/>
      </w:r>
      <w:r>
        <w:rPr>
          <w:sz w:val="22"/>
          <w:szCs w:val="22"/>
        </w:rPr>
        <w:t>SIŪLOMA PROGRAMOS NEFINANSUOTI</w:t>
      </w:r>
    </w:p>
    <w:p w:rsidR="00534B2A" w:rsidRDefault="00534B2A">
      <w:pPr>
        <w:jc w:val="both"/>
        <w:rPr>
          <w:b/>
          <w:sz w:val="22"/>
          <w:szCs w:val="22"/>
          <w:lang w:eastAsia="lt-LT"/>
        </w:rPr>
      </w:pPr>
    </w:p>
    <w:p w:rsidR="00534B2A" w:rsidRDefault="0081329E">
      <w:pPr>
        <w:jc w:val="both"/>
        <w:rPr>
          <w:b/>
          <w:sz w:val="22"/>
          <w:szCs w:val="22"/>
          <w:lang w:eastAsia="lt-LT"/>
        </w:rPr>
      </w:pPr>
      <w:r>
        <w:rPr>
          <w:b/>
          <w:sz w:val="22"/>
          <w:szCs w:val="22"/>
          <w:lang w:eastAsia="lt-LT"/>
        </w:rPr>
        <w:t>III. Kitos pastabos</w:t>
      </w:r>
    </w:p>
    <w:p w:rsidR="00534B2A" w:rsidRDefault="0081329E">
      <w:pPr>
        <w:jc w:val="both"/>
        <w:rPr>
          <w:sz w:val="22"/>
          <w:szCs w:val="22"/>
          <w:lang w:eastAsia="lt-LT"/>
        </w:rPr>
      </w:pPr>
      <w:r>
        <w:rPr>
          <w:sz w:val="22"/>
          <w:szCs w:val="22"/>
          <w:lang w:eastAsia="lt-LT"/>
        </w:rPr>
        <w:t xml:space="preserve">. . . . . . . . . . . . . . . . . . . . . . . . . . . . . . . . . . . . . . . . . . . . . . . . . . . . . . . . . . . . . . . . . . . . . . . . . . . . </w:t>
      </w:r>
    </w:p>
    <w:p w:rsidR="00534B2A" w:rsidRDefault="00534B2A">
      <w:pPr>
        <w:jc w:val="both"/>
        <w:rPr>
          <w:sz w:val="22"/>
          <w:szCs w:val="22"/>
          <w:lang w:eastAsia="lt-LT"/>
        </w:rPr>
      </w:pPr>
    </w:p>
    <w:tbl>
      <w:tblPr>
        <w:tblW w:w="0" w:type="auto"/>
        <w:tblLook w:val="04A0" w:firstRow="1" w:lastRow="0" w:firstColumn="1" w:lastColumn="0" w:noHBand="0" w:noVBand="1"/>
      </w:tblPr>
      <w:tblGrid>
        <w:gridCol w:w="3221"/>
        <w:gridCol w:w="3209"/>
        <w:gridCol w:w="3208"/>
      </w:tblGrid>
      <w:tr w:rsidR="00534B2A">
        <w:tc>
          <w:tcPr>
            <w:tcW w:w="3284" w:type="dxa"/>
            <w:hideMark/>
          </w:tcPr>
          <w:p w:rsidR="00534B2A" w:rsidRDefault="0081329E">
            <w:pPr>
              <w:jc w:val="center"/>
              <w:rPr>
                <w:rFonts w:ascii="TimesLT" w:hAnsi="TimesLT"/>
                <w:sz w:val="22"/>
                <w:szCs w:val="22"/>
                <w:lang w:eastAsia="lt-LT"/>
              </w:rPr>
            </w:pPr>
            <w:r>
              <w:rPr>
                <w:rFonts w:ascii="TimesLT" w:hAnsi="TimesLT"/>
                <w:sz w:val="22"/>
                <w:szCs w:val="22"/>
                <w:lang w:eastAsia="lt-LT"/>
              </w:rPr>
              <w:t>Vertintojas (-a)</w:t>
            </w:r>
          </w:p>
        </w:tc>
        <w:tc>
          <w:tcPr>
            <w:tcW w:w="3285" w:type="dxa"/>
          </w:tcPr>
          <w:p w:rsidR="00534B2A" w:rsidRDefault="00534B2A">
            <w:pPr>
              <w:jc w:val="center"/>
              <w:rPr>
                <w:rFonts w:ascii="TimesLT" w:hAnsi="TimesLT"/>
                <w:sz w:val="22"/>
                <w:szCs w:val="22"/>
                <w:lang w:eastAsia="lt-LT"/>
              </w:rPr>
            </w:pPr>
          </w:p>
        </w:tc>
        <w:tc>
          <w:tcPr>
            <w:tcW w:w="3285" w:type="dxa"/>
          </w:tcPr>
          <w:p w:rsidR="00534B2A" w:rsidRDefault="00534B2A">
            <w:pPr>
              <w:jc w:val="center"/>
              <w:rPr>
                <w:rFonts w:ascii="TimesLT" w:hAnsi="TimesLT"/>
                <w:sz w:val="22"/>
                <w:szCs w:val="22"/>
                <w:lang w:eastAsia="lt-LT"/>
              </w:rPr>
            </w:pPr>
          </w:p>
        </w:tc>
      </w:tr>
      <w:tr w:rsidR="00534B2A">
        <w:tc>
          <w:tcPr>
            <w:tcW w:w="3284" w:type="dxa"/>
          </w:tcPr>
          <w:p w:rsidR="00534B2A" w:rsidRDefault="00534B2A">
            <w:pPr>
              <w:jc w:val="center"/>
              <w:rPr>
                <w:rFonts w:ascii="TimesLT" w:hAnsi="TimesLT"/>
                <w:sz w:val="22"/>
                <w:szCs w:val="22"/>
                <w:vertAlign w:val="superscript"/>
                <w:lang w:eastAsia="lt-LT"/>
              </w:rPr>
            </w:pPr>
          </w:p>
        </w:tc>
        <w:tc>
          <w:tcPr>
            <w:tcW w:w="3285" w:type="dxa"/>
            <w:hideMark/>
          </w:tcPr>
          <w:p w:rsidR="00534B2A" w:rsidRDefault="0081329E">
            <w:pPr>
              <w:jc w:val="center"/>
              <w:rPr>
                <w:rFonts w:ascii="TimesLT" w:hAnsi="TimesLT"/>
                <w:sz w:val="22"/>
                <w:szCs w:val="22"/>
                <w:vertAlign w:val="superscript"/>
                <w:lang w:eastAsia="lt-LT"/>
              </w:rPr>
            </w:pPr>
            <w:r>
              <w:rPr>
                <w:rFonts w:ascii="TimesLT" w:hAnsi="TimesLT"/>
                <w:sz w:val="22"/>
                <w:szCs w:val="22"/>
                <w:vertAlign w:val="superscript"/>
                <w:lang w:eastAsia="lt-LT"/>
              </w:rPr>
              <w:t>(Parašas)</w:t>
            </w:r>
          </w:p>
        </w:tc>
        <w:tc>
          <w:tcPr>
            <w:tcW w:w="3285" w:type="dxa"/>
            <w:hideMark/>
          </w:tcPr>
          <w:p w:rsidR="00534B2A" w:rsidRDefault="0081329E">
            <w:pPr>
              <w:jc w:val="right"/>
              <w:rPr>
                <w:rFonts w:ascii="TimesLT" w:hAnsi="TimesLT"/>
                <w:sz w:val="22"/>
                <w:szCs w:val="22"/>
                <w:vertAlign w:val="superscript"/>
                <w:lang w:eastAsia="lt-LT"/>
              </w:rPr>
            </w:pPr>
            <w:r>
              <w:rPr>
                <w:rFonts w:ascii="TimesLT" w:hAnsi="TimesLT"/>
                <w:sz w:val="22"/>
                <w:szCs w:val="22"/>
                <w:vertAlign w:val="superscript"/>
                <w:lang w:eastAsia="lt-LT"/>
              </w:rPr>
              <w:t>(Vardas, pavardė)</w:t>
            </w:r>
          </w:p>
        </w:tc>
      </w:tr>
    </w:tbl>
    <w:p w:rsidR="00534B2A" w:rsidRDefault="00534B2A">
      <w:pPr>
        <w:rPr>
          <w:sz w:val="22"/>
          <w:szCs w:val="22"/>
        </w:rPr>
      </w:pPr>
    </w:p>
    <w:p w:rsidR="00534B2A" w:rsidRDefault="00534B2A">
      <w:pPr>
        <w:tabs>
          <w:tab w:val="left" w:pos="3960"/>
        </w:tabs>
        <w:ind w:firstLine="5103"/>
        <w:jc w:val="both"/>
        <w:sectPr w:rsidR="00534B2A">
          <w:pgSz w:w="11906" w:h="16838" w:code="9"/>
          <w:pgMar w:top="851" w:right="567" w:bottom="851" w:left="1701" w:header="567" w:footer="567" w:gutter="0"/>
          <w:cols w:space="1296"/>
          <w:docGrid w:linePitch="360"/>
        </w:sectPr>
      </w:pPr>
    </w:p>
    <w:p w:rsidR="00534B2A" w:rsidRDefault="0081329E">
      <w:pPr>
        <w:tabs>
          <w:tab w:val="left" w:pos="3960"/>
        </w:tabs>
        <w:ind w:firstLine="5103"/>
        <w:jc w:val="both"/>
        <w:rPr>
          <w:sz w:val="22"/>
          <w:szCs w:val="22"/>
        </w:rPr>
      </w:pPr>
      <w:r>
        <w:rPr>
          <w:sz w:val="22"/>
          <w:szCs w:val="22"/>
        </w:rPr>
        <w:lastRenderedPageBreak/>
        <w:t>Visagino savivaldybės neformaliojo suaugusiųjų</w:t>
      </w:r>
    </w:p>
    <w:p w:rsidR="00534B2A" w:rsidRDefault="0081329E">
      <w:pPr>
        <w:tabs>
          <w:tab w:val="left" w:pos="3960"/>
        </w:tabs>
        <w:ind w:firstLine="5103"/>
        <w:jc w:val="both"/>
        <w:rPr>
          <w:sz w:val="22"/>
          <w:szCs w:val="22"/>
        </w:rPr>
      </w:pPr>
      <w:r>
        <w:rPr>
          <w:sz w:val="22"/>
          <w:szCs w:val="22"/>
        </w:rPr>
        <w:t>švietimo ir tęstinio mokymosi programų,</w:t>
      </w:r>
    </w:p>
    <w:p w:rsidR="00534B2A" w:rsidRDefault="0081329E">
      <w:pPr>
        <w:tabs>
          <w:tab w:val="left" w:pos="3960"/>
        </w:tabs>
        <w:ind w:firstLine="5103"/>
        <w:jc w:val="both"/>
        <w:rPr>
          <w:sz w:val="22"/>
          <w:szCs w:val="22"/>
        </w:rPr>
      </w:pPr>
      <w:r>
        <w:rPr>
          <w:sz w:val="22"/>
          <w:szCs w:val="22"/>
        </w:rPr>
        <w:t>finansuojamų savivaldybės biudžeto lėšomis,</w:t>
      </w:r>
    </w:p>
    <w:p w:rsidR="00534B2A" w:rsidRDefault="0081329E">
      <w:pPr>
        <w:tabs>
          <w:tab w:val="left" w:pos="3960"/>
        </w:tabs>
        <w:ind w:firstLine="5103"/>
        <w:jc w:val="both"/>
        <w:rPr>
          <w:sz w:val="22"/>
          <w:szCs w:val="22"/>
        </w:rPr>
      </w:pPr>
      <w:r>
        <w:rPr>
          <w:sz w:val="22"/>
          <w:szCs w:val="22"/>
        </w:rPr>
        <w:t xml:space="preserve">finansavimo ir atrankos tvarkos aprašo </w:t>
      </w:r>
    </w:p>
    <w:p w:rsidR="00534B2A" w:rsidRDefault="0081329E">
      <w:pPr>
        <w:tabs>
          <w:tab w:val="left" w:pos="3960"/>
        </w:tabs>
        <w:ind w:left="4500" w:firstLine="603"/>
        <w:jc w:val="both"/>
        <w:rPr>
          <w:sz w:val="22"/>
          <w:szCs w:val="22"/>
        </w:rPr>
      </w:pPr>
      <w:r>
        <w:rPr>
          <w:sz w:val="22"/>
          <w:szCs w:val="22"/>
        </w:rPr>
        <w:t>3 priedas</w:t>
      </w:r>
    </w:p>
    <w:p w:rsidR="00534B2A" w:rsidRDefault="00534B2A">
      <w:pPr>
        <w:rPr>
          <w:sz w:val="22"/>
          <w:szCs w:val="22"/>
        </w:rPr>
      </w:pPr>
    </w:p>
    <w:p w:rsidR="00534B2A" w:rsidRDefault="0081329E">
      <w:pPr>
        <w:jc w:val="center"/>
        <w:rPr>
          <w:b/>
          <w:szCs w:val="24"/>
        </w:rPr>
      </w:pPr>
      <w:r>
        <w:rPr>
          <w:b/>
          <w:szCs w:val="24"/>
        </w:rPr>
        <w:t>DALYKINĖ ATASKAITA</w:t>
      </w:r>
    </w:p>
    <w:p w:rsidR="00534B2A" w:rsidRDefault="00534B2A">
      <w:pPr>
        <w:jc w:val="center"/>
        <w:rPr>
          <w:b/>
          <w:szCs w:val="24"/>
        </w:rPr>
      </w:pPr>
    </w:p>
    <w:p w:rsidR="00534B2A" w:rsidRDefault="0081329E">
      <w:pPr>
        <w:jc w:val="center"/>
        <w:rPr>
          <w:szCs w:val="24"/>
        </w:rPr>
      </w:pPr>
      <w:r>
        <w:rPr>
          <w:szCs w:val="24"/>
        </w:rPr>
        <w:t>____________________________</w:t>
      </w:r>
    </w:p>
    <w:p w:rsidR="00534B2A" w:rsidRDefault="0081329E">
      <w:pPr>
        <w:jc w:val="center"/>
        <w:rPr>
          <w:sz w:val="20"/>
        </w:rPr>
      </w:pPr>
      <w:r>
        <w:rPr>
          <w:sz w:val="20"/>
        </w:rPr>
        <w:t>(data)</w:t>
      </w:r>
    </w:p>
    <w:p w:rsidR="00534B2A" w:rsidRDefault="00534B2A">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34B2A">
        <w:trPr>
          <w:trHeight w:val="471"/>
        </w:trPr>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rPr>
                <w:szCs w:val="24"/>
              </w:rPr>
            </w:pPr>
            <w:r>
              <w:t>Juridinio asmens pavadinimas arba fizinio asmens vardas ir pavardė</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rPr>
                <w:szCs w:val="24"/>
              </w:rPr>
            </w:pPr>
          </w:p>
        </w:tc>
      </w:tr>
      <w:tr w:rsidR="00534B2A">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rPr>
                <w:szCs w:val="24"/>
              </w:rPr>
            </w:pPr>
            <w:r>
              <w:rPr>
                <w:szCs w:val="24"/>
              </w:rPr>
              <w:t>Programos pavadinimas</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rPr>
                <w:szCs w:val="24"/>
              </w:rPr>
            </w:pPr>
          </w:p>
        </w:tc>
      </w:tr>
      <w:tr w:rsidR="00534B2A">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rPr>
                <w:szCs w:val="24"/>
              </w:rPr>
            </w:pPr>
            <w:r>
              <w:rPr>
                <w:szCs w:val="24"/>
              </w:rPr>
              <w:t>Skirtos lėšos</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rPr>
                <w:szCs w:val="24"/>
              </w:rPr>
            </w:pPr>
          </w:p>
        </w:tc>
      </w:tr>
      <w:tr w:rsidR="00534B2A">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rPr>
                <w:szCs w:val="24"/>
              </w:rPr>
            </w:pPr>
            <w:r>
              <w:rPr>
                <w:szCs w:val="24"/>
              </w:rPr>
              <w:t>Panaudotos lėšos</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rPr>
                <w:szCs w:val="24"/>
              </w:rPr>
            </w:pPr>
          </w:p>
        </w:tc>
      </w:tr>
      <w:tr w:rsidR="00534B2A">
        <w:tc>
          <w:tcPr>
            <w:tcW w:w="4927" w:type="dxa"/>
            <w:tcBorders>
              <w:top w:val="single" w:sz="4" w:space="0" w:color="auto"/>
              <w:left w:val="single" w:sz="4" w:space="0" w:color="auto"/>
              <w:bottom w:val="single" w:sz="4" w:space="0" w:color="auto"/>
              <w:right w:val="single" w:sz="4" w:space="0" w:color="auto"/>
            </w:tcBorders>
            <w:hideMark/>
          </w:tcPr>
          <w:p w:rsidR="00534B2A" w:rsidRDefault="0081329E">
            <w:pPr>
              <w:rPr>
                <w:szCs w:val="24"/>
              </w:rPr>
            </w:pPr>
            <w:r>
              <w:rPr>
                <w:szCs w:val="24"/>
              </w:rPr>
              <w:t>Programos vykdytojas</w:t>
            </w:r>
          </w:p>
        </w:tc>
        <w:tc>
          <w:tcPr>
            <w:tcW w:w="4927" w:type="dxa"/>
            <w:tcBorders>
              <w:top w:val="single" w:sz="4" w:space="0" w:color="auto"/>
              <w:left w:val="single" w:sz="4" w:space="0" w:color="auto"/>
              <w:bottom w:val="single" w:sz="4" w:space="0" w:color="auto"/>
              <w:right w:val="single" w:sz="4" w:space="0" w:color="auto"/>
            </w:tcBorders>
          </w:tcPr>
          <w:p w:rsidR="00534B2A" w:rsidRDefault="00534B2A">
            <w:pPr>
              <w:rPr>
                <w:szCs w:val="24"/>
              </w:rPr>
            </w:pPr>
          </w:p>
        </w:tc>
      </w:tr>
    </w:tbl>
    <w:p w:rsidR="00534B2A" w:rsidRDefault="00534B2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4B2A">
        <w:tc>
          <w:tcPr>
            <w:tcW w:w="9854" w:type="dxa"/>
            <w:tcBorders>
              <w:top w:val="single" w:sz="4" w:space="0" w:color="auto"/>
              <w:left w:val="single" w:sz="4" w:space="0" w:color="auto"/>
              <w:bottom w:val="single" w:sz="4" w:space="0" w:color="auto"/>
              <w:right w:val="single" w:sz="4" w:space="0" w:color="auto"/>
            </w:tcBorders>
            <w:hideMark/>
          </w:tcPr>
          <w:p w:rsidR="00534B2A" w:rsidRDefault="0081329E">
            <w:pPr>
              <w:rPr>
                <w:b/>
                <w:szCs w:val="24"/>
              </w:rPr>
            </w:pPr>
            <w:r>
              <w:rPr>
                <w:b/>
                <w:szCs w:val="24"/>
              </w:rPr>
              <w:t xml:space="preserve">Programos dalyvių apibūdinimas </w:t>
            </w:r>
            <w:r>
              <w:rPr>
                <w:szCs w:val="24"/>
              </w:rPr>
              <w:t>(skaičius, tikslinės grupės amžius, lytis, ugdymosi poreikiai ir pan.)</w:t>
            </w:r>
          </w:p>
        </w:tc>
      </w:tr>
      <w:tr w:rsidR="00534B2A">
        <w:tc>
          <w:tcPr>
            <w:tcW w:w="9854" w:type="dxa"/>
            <w:tcBorders>
              <w:top w:val="single" w:sz="4" w:space="0" w:color="auto"/>
              <w:left w:val="single" w:sz="4" w:space="0" w:color="auto"/>
              <w:bottom w:val="single" w:sz="4" w:space="0" w:color="auto"/>
              <w:right w:val="single" w:sz="4" w:space="0" w:color="auto"/>
            </w:tcBorders>
          </w:tcPr>
          <w:p w:rsidR="00534B2A" w:rsidRDefault="00534B2A">
            <w:pPr>
              <w:rPr>
                <w:szCs w:val="24"/>
              </w:rPr>
            </w:pPr>
          </w:p>
        </w:tc>
      </w:tr>
    </w:tbl>
    <w:p w:rsidR="00534B2A" w:rsidRDefault="00534B2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4B2A">
        <w:tc>
          <w:tcPr>
            <w:tcW w:w="9854" w:type="dxa"/>
            <w:tcBorders>
              <w:top w:val="single" w:sz="4" w:space="0" w:color="auto"/>
              <w:left w:val="single" w:sz="4" w:space="0" w:color="auto"/>
              <w:bottom w:val="single" w:sz="4" w:space="0" w:color="auto"/>
              <w:right w:val="single" w:sz="4" w:space="0" w:color="auto"/>
            </w:tcBorders>
            <w:hideMark/>
          </w:tcPr>
          <w:p w:rsidR="00534B2A" w:rsidRDefault="0081329E">
            <w:pPr>
              <w:rPr>
                <w:b/>
                <w:szCs w:val="24"/>
              </w:rPr>
            </w:pPr>
            <w:r>
              <w:rPr>
                <w:b/>
                <w:szCs w:val="24"/>
              </w:rPr>
              <w:t>Programos tęstinumo galimybės</w:t>
            </w:r>
          </w:p>
        </w:tc>
      </w:tr>
      <w:tr w:rsidR="00534B2A">
        <w:tc>
          <w:tcPr>
            <w:tcW w:w="9854" w:type="dxa"/>
            <w:tcBorders>
              <w:top w:val="single" w:sz="4" w:space="0" w:color="auto"/>
              <w:left w:val="single" w:sz="4" w:space="0" w:color="auto"/>
              <w:bottom w:val="single" w:sz="4" w:space="0" w:color="auto"/>
              <w:right w:val="single" w:sz="4" w:space="0" w:color="auto"/>
            </w:tcBorders>
          </w:tcPr>
          <w:p w:rsidR="00534B2A" w:rsidRDefault="00534B2A">
            <w:pPr>
              <w:rPr>
                <w:szCs w:val="24"/>
              </w:rPr>
            </w:pPr>
          </w:p>
        </w:tc>
      </w:tr>
    </w:tbl>
    <w:p w:rsidR="00534B2A" w:rsidRDefault="00534B2A">
      <w:pPr>
        <w:rPr>
          <w:szCs w:val="24"/>
        </w:rPr>
      </w:pPr>
    </w:p>
    <w:p w:rsidR="00534B2A" w:rsidRDefault="00534B2A">
      <w:pPr>
        <w:rPr>
          <w:szCs w:val="24"/>
        </w:rPr>
      </w:pPr>
    </w:p>
    <w:p w:rsidR="00534B2A" w:rsidRDefault="0081329E">
      <w:pPr>
        <w:rPr>
          <w:szCs w:val="24"/>
        </w:rPr>
      </w:pPr>
      <w:r>
        <w:rPr>
          <w:szCs w:val="24"/>
        </w:rPr>
        <w:t>Programos vykdytojas</w:t>
      </w:r>
    </w:p>
    <w:p w:rsidR="00534B2A" w:rsidRDefault="00534B2A">
      <w:pPr>
        <w:rPr>
          <w:szCs w:val="24"/>
        </w:rPr>
      </w:pPr>
    </w:p>
    <w:p w:rsidR="00534B2A" w:rsidRDefault="0081329E">
      <w:pPr>
        <w:rPr>
          <w:szCs w:val="24"/>
        </w:rPr>
      </w:pPr>
      <w:r>
        <w:rPr>
          <w:szCs w:val="24"/>
        </w:rPr>
        <w:t xml:space="preserve">________________________ </w:t>
      </w:r>
      <w:r>
        <w:rPr>
          <w:szCs w:val="24"/>
        </w:rPr>
        <w:tab/>
        <w:t>_________________</w:t>
      </w:r>
      <w:r>
        <w:rPr>
          <w:szCs w:val="24"/>
        </w:rPr>
        <w:tab/>
        <w:t>__________________________</w:t>
      </w:r>
    </w:p>
    <w:p w:rsidR="00534B2A" w:rsidRDefault="0081329E">
      <w:pPr>
        <w:ind w:firstLine="780"/>
        <w:rPr>
          <w:szCs w:val="24"/>
        </w:rPr>
      </w:pPr>
      <w:r>
        <w:rPr>
          <w:szCs w:val="24"/>
        </w:rPr>
        <w:t>(pareigos)</w:t>
      </w:r>
      <w:r>
        <w:rPr>
          <w:szCs w:val="24"/>
        </w:rPr>
        <w:tab/>
      </w:r>
      <w:r>
        <w:rPr>
          <w:szCs w:val="24"/>
        </w:rPr>
        <w:tab/>
        <w:t xml:space="preserve">          (parašas)</w:t>
      </w:r>
      <w:r>
        <w:rPr>
          <w:szCs w:val="24"/>
        </w:rPr>
        <w:tab/>
        <w:t xml:space="preserve">            (vardas ir pavardė)</w:t>
      </w:r>
    </w:p>
    <w:p w:rsidR="00534B2A" w:rsidRDefault="0081329E">
      <w:pPr>
        <w:ind w:firstLine="1440"/>
        <w:rPr>
          <w:szCs w:val="24"/>
        </w:rPr>
      </w:pPr>
      <w:r>
        <w:rPr>
          <w:szCs w:val="24"/>
        </w:rPr>
        <w:t>A. V.</w:t>
      </w:r>
    </w:p>
    <w:p w:rsidR="00534B2A" w:rsidRDefault="00534B2A">
      <w:pPr>
        <w:rPr>
          <w:szCs w:val="24"/>
        </w:rPr>
      </w:pPr>
    </w:p>
    <w:p w:rsidR="00534B2A" w:rsidRDefault="0081329E">
      <w:pPr>
        <w:rPr>
          <w:szCs w:val="24"/>
        </w:rPr>
      </w:pPr>
      <w:r>
        <w:rPr>
          <w:szCs w:val="24"/>
        </w:rPr>
        <w:t>Vyr. buhalteris</w:t>
      </w:r>
    </w:p>
    <w:p w:rsidR="00534B2A" w:rsidRDefault="00534B2A">
      <w:pPr>
        <w:rPr>
          <w:szCs w:val="24"/>
        </w:rPr>
      </w:pPr>
    </w:p>
    <w:p w:rsidR="00534B2A" w:rsidRDefault="0081329E">
      <w:pPr>
        <w:rPr>
          <w:szCs w:val="24"/>
        </w:rPr>
      </w:pPr>
      <w:r>
        <w:rPr>
          <w:szCs w:val="24"/>
        </w:rPr>
        <w:t xml:space="preserve">________________________ </w:t>
      </w:r>
      <w:r>
        <w:rPr>
          <w:szCs w:val="24"/>
        </w:rPr>
        <w:tab/>
        <w:t>_________________</w:t>
      </w:r>
      <w:r>
        <w:rPr>
          <w:szCs w:val="24"/>
        </w:rPr>
        <w:tab/>
        <w:t>__________________________</w:t>
      </w:r>
    </w:p>
    <w:p w:rsidR="00534B2A" w:rsidRDefault="0081329E">
      <w:pPr>
        <w:ind w:firstLine="780"/>
        <w:rPr>
          <w:szCs w:val="24"/>
        </w:rPr>
      </w:pPr>
      <w:r>
        <w:rPr>
          <w:szCs w:val="24"/>
        </w:rPr>
        <w:t>(pareigos)</w:t>
      </w:r>
      <w:r>
        <w:rPr>
          <w:szCs w:val="24"/>
        </w:rPr>
        <w:tab/>
      </w:r>
      <w:r>
        <w:rPr>
          <w:szCs w:val="24"/>
        </w:rPr>
        <w:tab/>
        <w:t xml:space="preserve">          (parašas)</w:t>
      </w:r>
      <w:r>
        <w:rPr>
          <w:szCs w:val="24"/>
        </w:rPr>
        <w:tab/>
        <w:t xml:space="preserve">            (vardas ir pavardė)</w:t>
      </w:r>
    </w:p>
    <w:p w:rsidR="00534B2A" w:rsidRDefault="00534B2A">
      <w:pPr>
        <w:ind w:firstLine="1440"/>
        <w:rPr>
          <w:szCs w:val="24"/>
        </w:rPr>
      </w:pPr>
    </w:p>
    <w:p w:rsidR="00534B2A" w:rsidRDefault="00534B2A">
      <w:pPr>
        <w:rPr>
          <w:szCs w:val="24"/>
        </w:rPr>
      </w:pPr>
    </w:p>
    <w:p w:rsidR="00534B2A" w:rsidRDefault="00534B2A">
      <w:pPr>
        <w:rPr>
          <w:szCs w:val="24"/>
        </w:rPr>
      </w:pPr>
    </w:p>
    <w:p w:rsidR="00534B2A" w:rsidRDefault="0081329E">
      <w:pPr>
        <w:jc w:val="center"/>
        <w:rPr>
          <w:sz w:val="22"/>
          <w:szCs w:val="22"/>
        </w:rPr>
      </w:pPr>
      <w:r>
        <w:rPr>
          <w:szCs w:val="24"/>
        </w:rPr>
        <w:t>_____________________</w:t>
      </w:r>
    </w:p>
    <w:p w:rsidR="00534B2A" w:rsidRDefault="00534B2A">
      <w:pPr>
        <w:jc w:val="both"/>
        <w:rPr>
          <w:b/>
          <w:sz w:val="20"/>
        </w:rPr>
      </w:pPr>
    </w:p>
    <w:p w:rsidR="00534B2A" w:rsidRDefault="00534B2A">
      <w:pPr>
        <w:jc w:val="both"/>
        <w:rPr>
          <w:b/>
          <w:sz w:val="20"/>
        </w:rPr>
      </w:pPr>
    </w:p>
    <w:p w:rsidR="00534B2A" w:rsidRDefault="0081329E">
      <w:pPr>
        <w:jc w:val="both"/>
        <w:rPr>
          <w:b/>
        </w:rPr>
      </w:pPr>
      <w:r>
        <w:rPr>
          <w:b/>
          <w:sz w:val="20"/>
        </w:rPr>
        <w:t>Pakeitimai:</w:t>
      </w:r>
    </w:p>
    <w:p w:rsidR="00534B2A" w:rsidRDefault="00534B2A">
      <w:pPr>
        <w:jc w:val="both"/>
        <w:rPr>
          <w:sz w:val="20"/>
        </w:rPr>
      </w:pPr>
    </w:p>
    <w:p w:rsidR="00534B2A" w:rsidRDefault="0081329E">
      <w:pPr>
        <w:jc w:val="both"/>
      </w:pPr>
      <w:r>
        <w:rPr>
          <w:sz w:val="20"/>
        </w:rPr>
        <w:t>1.</w:t>
      </w:r>
    </w:p>
    <w:p w:rsidR="00534B2A" w:rsidRDefault="0081329E">
      <w:pPr>
        <w:jc w:val="both"/>
      </w:pPr>
      <w:r>
        <w:rPr>
          <w:sz w:val="20"/>
        </w:rPr>
        <w:t>Visagino savivaldybės taryba, Sprendimas</w:t>
      </w:r>
    </w:p>
    <w:p w:rsidR="00534B2A" w:rsidRDefault="0081329E">
      <w:pPr>
        <w:jc w:val="both"/>
      </w:pPr>
      <w:r>
        <w:rPr>
          <w:sz w:val="20"/>
        </w:rPr>
        <w:t xml:space="preserve">Nr. </w:t>
      </w:r>
      <w:hyperlink r:id="rId7" w:history="1">
        <w:r w:rsidRPr="00532B9F">
          <w:rPr>
            <w:rFonts w:eastAsia="MS Mincho"/>
            <w:iCs/>
            <w:color w:val="0563C1" w:themeColor="hyperlink"/>
            <w:sz w:val="20"/>
            <w:u w:val="single"/>
          </w:rPr>
          <w:t>TS-69</w:t>
        </w:r>
      </w:hyperlink>
      <w:r>
        <w:rPr>
          <w:rFonts w:eastAsia="MS Mincho"/>
          <w:iCs/>
          <w:sz w:val="20"/>
        </w:rPr>
        <w:t>, 2019-03-28, paskelbta TAR 2019-04-03, i. k. 2019-05388</w:t>
      </w:r>
    </w:p>
    <w:p w:rsidR="00534B2A" w:rsidRDefault="0081329E">
      <w:pPr>
        <w:jc w:val="both"/>
      </w:pPr>
      <w:r>
        <w:rPr>
          <w:sz w:val="20"/>
        </w:rPr>
        <w:t>Dėl Visagino savivaldybės tarybos 2016 m. birželio 30 d. sprendimo Nr. TS-126 „Dėl Visagino savivaldybės neformaliojo suaugusiųjų švietimo ir tęstinio mokymosi programų, finansuojamų savivaldybės biudžeto lėšomis, finansavimo ir atrankos tvarkos aprašo patvirtinimo“ pakeitimo</w:t>
      </w:r>
    </w:p>
    <w:p w:rsidR="00534B2A" w:rsidRDefault="00534B2A">
      <w:pPr>
        <w:jc w:val="both"/>
        <w:rPr>
          <w:sz w:val="20"/>
        </w:rPr>
      </w:pPr>
    </w:p>
    <w:p w:rsidR="00534B2A" w:rsidRDefault="00534B2A">
      <w:pPr>
        <w:widowControl w:val="0"/>
        <w:rPr>
          <w:snapToGrid w:val="0"/>
        </w:rPr>
      </w:pPr>
    </w:p>
    <w:sectPr w:rsidR="00534B2A">
      <w:pgSz w:w="11906" w:h="16838" w:code="9"/>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E8"/>
    <w:rsid w:val="00215692"/>
    <w:rsid w:val="00344D8E"/>
    <w:rsid w:val="00397DAF"/>
    <w:rsid w:val="00534B2A"/>
    <w:rsid w:val="0081329E"/>
    <w:rsid w:val="00F227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0D214-BEDD-45A9-8FFD-096B3352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tar.lt/portal/legalAct.html?documentId=965d8d3055d111e9975f9c35aedfe4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965d8d3055d111e9975f9c35aedfe438" TargetMode="External"/><Relationship Id="rId5" Type="http://schemas.openxmlformats.org/officeDocument/2006/relationships/hyperlink" Target="https://www.e-tar.lt/portal/legalAct.html?documentId=965d8d3055d111e9975f9c35aedfe438"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9838</Words>
  <Characters>5608</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dc:creator>
  <cp:lastModifiedBy>User</cp:lastModifiedBy>
  <cp:revision>6</cp:revision>
  <cp:lastPrinted>2016-07-04T11:26:00Z</cp:lastPrinted>
  <dcterms:created xsi:type="dcterms:W3CDTF">2019-08-20T13:08:00Z</dcterms:created>
  <dcterms:modified xsi:type="dcterms:W3CDTF">2020-02-05T06:50:00Z</dcterms:modified>
</cp:coreProperties>
</file>